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0.png" ContentType="image/png"/>
  <Override PartName="/word/media/rId84.png" ContentType="image/png"/>
  <Override PartName="/word/media/rId36.png" ContentType="image/png"/>
  <Override PartName="/word/media/rId33.png" ContentType="image/png"/>
  <Override PartName="/word/media/rId21.png" ContentType="image/png"/>
  <Override PartName="/word/media/rId87.png" ContentType="image/png"/>
  <Override PartName="/word/media/rId81.png" ContentType="image/png"/>
  <Override PartName="/word/media/rId55.png" ContentType="image/png"/>
  <Override PartName="/word/media/rId59.png" ContentType="image/png"/>
  <Override PartName="/word/media/rId65.png" ContentType="image/png"/>
  <Override PartName="/word/media/rId62.png" ContentType="image/png"/>
  <Override PartName="/word/media/rId40.png" ContentType="image/png"/>
  <Override PartName="/word/media/rId49.png" ContentType="image/png"/>
  <Override PartName="/word/media/rId5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Because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 It is also important to mention another important property of the proposed transformation, if</w:t>
      </w:r>
      <w:r>
        <w:t xml:space="preserve"> </w:t>
      </w:r>
      <m:oMath>
        <m:r>
          <m:t>t</m:t>
        </m:r>
        <m:r>
          <m:t>h</m:t>
        </m:r>
        <m:r>
          <m:t>e</m:t>
        </m:r>
        <m:r>
          <m:t>t</m:t>
        </m:r>
        <m:r>
          <m:t>a</m:t>
        </m:r>
      </m:oMath>
      <w:r>
        <w:t xml:space="preserve"> </w:t>
      </w:r>
      <w:r>
        <w:t xml:space="preserve">parameter is close to one it has negligible impact on the overall correlation but still introduces required asymmetry at the extreme tails.</w:t>
      </w:r>
    </w:p>
    <w:p>
      <w:pPr>
        <w:pStyle w:val="CaptionedFigure"/>
      </w:pPr>
      <w:r>
        <w:drawing>
          <wp:inline>
            <wp:extent cx="5943600" cy="3031368"/>
            <wp:effectExtent b="0" l="0" r="0" t="0"/>
            <wp:docPr descr="Figure 2: A sample of scenarios from the original 2d Cauchy copula (left) and its W-transformed equivalent (right)."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localized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70" w:name="testing-and-evaluation"/>
    <w:p>
      <w:pPr>
        <w:pStyle w:val="Heading1"/>
      </w:pPr>
      <w:r>
        <w:t xml:space="preserve">Testing and Evaluation</w:t>
      </w:r>
    </w:p>
    <w:bookmarkStart w:id="58" w:name="testing-copulas-generation"/>
    <w:p>
      <w:pPr>
        <w:pStyle w:val="Heading2"/>
      </w:pPr>
      <w:r>
        <w:t xml:space="preserve">Testing copulas generation</w:t>
      </w:r>
    </w:p>
    <w:p>
      <w:pPr>
        <w:pStyle w:val="FirstParagraph"/>
      </w:pPr>
      <w:r>
        <w:t xml:space="preserve">To validate the computational implementation of the copula models, we conduct a specialized two-dimensional simulation focused on the stock returns of Apple and Microsoft as of 31 December 2025. This bivariate approach is selected because it permits a clear, intuitive visual analysis of the underlying dependency structures before scaling to higher dimensions. The accompanying figure below presents 10,000 uniform scenarios generated across four distinct copulas. Crucially, to ensure a valid and strictly controlled comparison, every model in this simulation is calibrated using the exact same set of input information (comprising one year of historical observations), has almost identical Pearson correlation coefficient. The visualization is organized into four distinct panels to highlight the behavioral characteristics of each dependency structure. The top-left quadrant displays the standard Gaussian copula, which establishes a baseline of symmetric, light-tailed dependence typical of normal market conditions. In contrast, the top-right quadrant features the Cauchy copula, clearly demonstrating significantly heavier tails and an alternative diagonal for de-correlation scenarios. The bottom-left panel illustrates a composite model that equally blends the Gaussian and Cauchy copulas with a 50% weight assigned to each. Finally, the bottom-right quadrant presents the Skewed Cauchy copula configured with a 95% skew coefficient. This configuration introduces the critical left-tail asymmetry discussed previously, providing clear visual confirmation of the model’s ability to simulate realistic, highly correlated market downturns. By strategically shifting the probability mass, the copula effectively captures the severe, synchronized crashes that characterize genuine financial crises, where asset prices tend to collapse simultaneously. Equally important is the model’s treatment of positive market movements, the transformation ensures a light-tailed structure throughout the growth region. This dual-sided approach ensures that while the system correctly anticipates correlated losses, it avoids the common pitfall of erroneously simulating symmetrically extreme, simultaneous market booms.</w:t>
      </w:r>
    </w:p>
    <w:p>
      <w:pPr>
        <w:pStyle w:val="CaptionedFigure"/>
      </w:pPr>
      <w:r>
        <w:drawing>
          <wp:inline>
            <wp:extent cx="5943600" cy="4572000"/>
            <wp:effectExtent b="0" l="0" r="0" t="0"/>
            <wp:docPr descr="Figure 6: Uniform scenarios from various copulas: Gaussian(top left), Cauchy (top right), Mixed Gaussian/Cauchy (bottom left) and Skewed Cauchy (bottom right)" title="" id="50" name="Picture"/>
            <a:graphic>
              <a:graphicData uri="http://schemas.openxmlformats.org/drawingml/2006/picture">
                <pic:pic>
                  <pic:nvPicPr>
                    <pic:cNvPr descr="figures\copulas_scenarios_comparison.png" id="51" name="Picture"/>
                    <pic:cNvPicPr>
                      <a:picLocks noChangeArrowheads="1" noChangeAspect="1"/>
                    </pic:cNvPicPr>
                  </pic:nvPicPr>
                  <pic:blipFill>
                    <a:blip r:embed="rId49"/>
                    <a:stretch>
                      <a:fillRect/>
                    </a:stretch>
                  </pic:blipFill>
                  <pic:spPr bwMode="auto">
                    <a:xfrm>
                      <a:off x="0" y="0"/>
                      <a:ext cx="5943600" cy="4572000"/>
                    </a:xfrm>
                    <a:prstGeom prst="rect">
                      <a:avLst/>
                    </a:prstGeom>
                    <a:noFill/>
                    <a:ln w="9525">
                      <a:noFill/>
                      <a:headEnd/>
                      <a:tailEnd/>
                    </a:ln>
                  </pic:spPr>
                </pic:pic>
              </a:graphicData>
            </a:graphic>
          </wp:inline>
        </w:drawing>
      </w:r>
    </w:p>
    <w:p>
      <w:pPr>
        <w:pStyle w:val="ImageCaption"/>
      </w:pPr>
      <w:r>
        <w:rPr>
          <w:i/>
          <w:iCs/>
        </w:rPr>
        <w:t xml:space="preserve">Figure 6: Uniform scenarios from various copulas: Gaussian(top left), Cauchy (top right), Mixed Gaussian/Cauchy (bottom left) and Skewed Cauchy (bottom right)</w:t>
      </w:r>
    </w:p>
    <w:p>
      <w:pPr>
        <w:pStyle w:val="BodyText"/>
      </w:pPr>
      <w:r>
        <w:t xml:space="preserve">To provide further empirical support for the rationale outlined above, we graphically analyse the tail dependence coefficients (see definition in</w:t>
      </w:r>
      <w:r>
        <w:t xml:space="preserve"> </w:t>
      </w:r>
      <w:hyperlink w:anchor="copulas-in-value-at-risk">
        <w:r>
          <w:rPr>
            <w:rStyle w:val="Hyperlink"/>
          </w:rPr>
          <w:t xml:space="preserve">section 3</w:t>
        </w:r>
      </w:hyperlink>
      <w:r>
        <w:t xml:space="preserve">) across a wide range of probability percentiles for each of the evaluated copula models:</w:t>
      </w:r>
    </w:p>
    <w:p>
      <w:pPr>
        <w:pStyle w:val="Compact"/>
        <w:numPr>
          <w:ilvl w:val="0"/>
          <w:numId w:val="1008"/>
        </w:numPr>
      </w:pPr>
      <w:r>
        <w:t xml:space="preserve">Gaussian(top left);</w:t>
      </w:r>
    </w:p>
    <w:p>
      <w:pPr>
        <w:pStyle w:val="Compact"/>
        <w:numPr>
          <w:ilvl w:val="0"/>
          <w:numId w:val="1008"/>
        </w:numPr>
      </w:pPr>
      <w:r>
        <w:t xml:space="preserve">Cauchy (top right);</w:t>
      </w:r>
    </w:p>
    <w:p>
      <w:pPr>
        <w:pStyle w:val="Compact"/>
        <w:numPr>
          <w:ilvl w:val="0"/>
          <w:numId w:val="1008"/>
        </w:numPr>
      </w:pPr>
      <w:r>
        <w:t xml:space="preserve">Mixed Gaussian/Cauchy (bottom left), with 50% weight each;</w:t>
      </w:r>
    </w:p>
    <w:p>
      <w:pPr>
        <w:pStyle w:val="Compact"/>
        <w:numPr>
          <w:ilvl w:val="0"/>
          <w:numId w:val="1008"/>
        </w:numPr>
      </w:pPr>
      <w:r>
        <w:t xml:space="preserve">Skewed Cauchy (bottom right), with skew coefficient of 95%.</w:t>
      </w:r>
    </w:p>
    <w:p>
      <w:pPr>
        <w:pStyle w:val="FirstParagraph"/>
      </w:pPr>
      <w:r>
        <w:t xml:space="preserve">By plotting these coefficients, we can visually quantify the exact degree to which extreme events are correlated within the distinct dependency structures. This visual analysis allows for a precise observation of how tail dependence dynamically evolves as the distribution extends further into the extreme regions. Ultimately, charting these metrics provides concrete mathematical evidence that highlights the profound structural differences between models and confirms correctness of the implementation.</w:t>
      </w:r>
    </w:p>
    <w:p>
      <w:pPr>
        <w:pStyle w:val="CaptionedFigure"/>
      </w:pPr>
      <w:r>
        <w:drawing>
          <wp:inline>
            <wp:extent cx="5943600" cy="4664260"/>
            <wp:effectExtent b="0" l="0" r="0" t="0"/>
            <wp:docPr descr="Figure 7: Tail dependence for various copulas: Gaussian(top left), Cauchy (top right), Mixed Gaussian/Cauchy (bottom left) and Skewed Cauchy (bottom right)." title="" id="53" name="Picture"/>
            <a:graphic>
              <a:graphicData uri="http://schemas.openxmlformats.org/drawingml/2006/picture">
                <pic:pic>
                  <pic:nvPicPr>
                    <pic:cNvPr descr="figures\copulas_tail_dep.png" id="54" name="Picture"/>
                    <pic:cNvPicPr>
                      <a:picLocks noChangeArrowheads="1" noChangeAspect="1"/>
                    </pic:cNvPicPr>
                  </pic:nvPicPr>
                  <pic:blipFill>
                    <a:blip r:embed="rId52"/>
                    <a:stretch>
                      <a:fillRect/>
                    </a:stretch>
                  </pic:blipFill>
                  <pic:spPr bwMode="auto">
                    <a:xfrm>
                      <a:off x="0" y="0"/>
                      <a:ext cx="5943600" cy="4664260"/>
                    </a:xfrm>
                    <a:prstGeom prst="rect">
                      <a:avLst/>
                    </a:prstGeom>
                    <a:noFill/>
                    <a:ln w="9525">
                      <a:noFill/>
                      <a:headEnd/>
                      <a:tailEnd/>
                    </a:ln>
                  </pic:spPr>
                </pic:pic>
              </a:graphicData>
            </a:graphic>
          </wp:inline>
        </w:drawing>
      </w:r>
    </w:p>
    <w:p>
      <w:pPr>
        <w:pStyle w:val="ImageCaption"/>
      </w:pPr>
      <w:r>
        <w:rPr>
          <w:i/>
          <w:iCs/>
        </w:rPr>
        <w:t xml:space="preserve">Figure 7: Tail dependence for various copulas: Gaussian(top left), Cauchy (top right), Mixed Gaussian/Cauchy (bottom left) and Skewed Cauchy (bottom right).</w:t>
      </w:r>
    </w:p>
    <w:p>
      <w:pPr>
        <w:pStyle w:val="BodyText"/>
      </w:pPr>
      <w:r>
        <w:t xml:space="preserve">Beyond the primary models previously discussed, the analysis must also consider two crucial theoretical boundary cases: the independent copula and the comonotonicity copula. Integrating these theoretical copulas is beneficial as it provides an additional support for the implementation of a sophisticated mixture copula and allows studying extremes. The independent copula models a scenario of absolute zero dependence between variables, reflecting a state of complete market decoupling. Conversely, the comonotonicity copula represents perfect positive dependence, illustrating an extreme environment where all prices move in exact synchronization. By purposefully blending these boundary conditions with standard dependency structures, the system can account for rare but highly impactful shifts in market regimes.</w:t>
      </w:r>
    </w:p>
    <w:p>
      <w:pPr>
        <w:pStyle w:val="BodyText"/>
      </w:pPr>
      <w:r>
        <w:t xml:space="preserve">To practically demonstrate this concept, the current implementation constructs a complex composite mixture that aggregates the Gaussian, Cauchy, independent, and comonotonicity copulas using assigned weights of 50%, 40%, 5%, and 5%, respectively. Inclusion of the minor 5% weights for the independent and comonotonicity copulas ensures that the model reserves a small but vital probability for edge-case scenarios, specifically: moments of total market fragmentation or periods of absolute systemic lockstep during a severe crisis. Use of minor 5% weights also ensures very limited impact on the total Person correlation. Both the independent and comonotonicity copulas can be implemented by leveraging the Gaussian copula with a specific correlation matrix input. In the case of the independent copula, the correlation matrix is constructed such that all elements are zero. Conversely, the comonotonicity case is achieved by setting all elements of the correlation matrix to one.</w:t>
      </w:r>
    </w:p>
    <w:p>
      <w:pPr>
        <w:pStyle w:val="CaptionedFigure"/>
      </w:pPr>
      <w:r>
        <w:drawing>
          <wp:inline>
            <wp:extent cx="4433454" cy="3325090"/>
            <wp:effectExtent b="0" l="0" r="0" t="0"/>
            <wp:docPr descr="Figure 8: Uniform scenarios from composite mixture copula: the Gaussian (50%), Cauchy (40%), independent (5%) and comonotonicity (5%)" title="" id="56" name="Picture"/>
            <a:graphic>
              <a:graphicData uri="http://schemas.openxmlformats.org/drawingml/2006/picture">
                <pic:pic>
                  <pic:nvPicPr>
                    <pic:cNvPr descr="figures\Uniform_scenarios_Mixture_copula_g0.5,c0.4,u0.05,i0.05.png" id="57" name="Picture"/>
                    <pic:cNvPicPr>
                      <a:picLocks noChangeArrowheads="1" noChangeAspect="1"/>
                    </pic:cNvPicPr>
                  </pic:nvPicPr>
                  <pic:blipFill>
                    <a:blip r:embed="rId55"/>
                    <a:stretch>
                      <a:fillRect/>
                    </a:stretch>
                  </pic:blipFill>
                  <pic:spPr bwMode="auto">
                    <a:xfrm>
                      <a:off x="0" y="0"/>
                      <a:ext cx="4433454" cy="3325090"/>
                    </a:xfrm>
                    <a:prstGeom prst="rect">
                      <a:avLst/>
                    </a:prstGeom>
                    <a:noFill/>
                    <a:ln w="9525">
                      <a:noFill/>
                      <a:headEnd/>
                      <a:tailEnd/>
                    </a:ln>
                  </pic:spPr>
                </pic:pic>
              </a:graphicData>
            </a:graphic>
          </wp:inline>
        </w:drawing>
      </w:r>
    </w:p>
    <w:p>
      <w:pPr>
        <w:pStyle w:val="ImageCaption"/>
      </w:pPr>
      <w:r>
        <w:rPr>
          <w:i/>
          <w:iCs/>
        </w:rPr>
        <w:t xml:space="preserve">Figure 8: Uniform scenarios from composite mixture copula: the Gaussian (50%), Cauchy (40%), independent (5%) and comonotonicity (5%)</w:t>
      </w:r>
    </w:p>
    <w:bookmarkEnd w:id="58"/>
    <w:bookmarkStart w:id="68" w:name="testing-value-at-risk-calculation"/>
    <w:p>
      <w:pPr>
        <w:pStyle w:val="Heading2"/>
      </w:pPr>
      <w:r>
        <w:t xml:space="preserve">Testing Value-at-Risk calculation</w:t>
      </w:r>
    </w:p>
    <w:p>
      <w:pPr>
        <w:pStyle w:val="FirstParagraph"/>
      </w:pPr>
      <w:r>
        <w:t xml:space="preserve">In this section, we validate our MC VaR framework by testing how different copula-based dependency structures impact risk estimates at different percentiles. Our methodology involves computing monthly figures for the period spanning from 2020 to 2025, with each value being driven by the preceding twelve months of market data to which it is calibrated. To test the robustness of the implementation, we apply this process to three specific portfolio configurations. The first is a long-only portfolio following the S&amp;P 500 index weights published in February 2026. The second test case consists of a mirror-image short portfolio, which maintains the exact same weight distribution as the long-only portfolio but utilizes inverted signs for all position exposures. Finally, we implement a third</w:t>
      </w:r>
      <w:r>
        <w:t xml:space="preserve"> </w:t>
      </w:r>
      <w:r>
        <w:t xml:space="preserve">“hedged”</w:t>
      </w:r>
      <w:r>
        <w:t xml:space="preserve"> </w:t>
      </w:r>
      <w:r>
        <w:t xml:space="preserve">portfolio by randomly alternating the sign of the positions (long or short) for each stock, thereby creating a portfolio with a randomized, market-neutral exposure.</w:t>
      </w:r>
    </w:p>
    <w:p>
      <w:pPr>
        <w:pStyle w:val="BodyText"/>
      </w:pPr>
      <w:r>
        <w:t xml:space="preserve">The figure presented below shows the evolution of standard 99% VaR (which is commonly utilized for both internal risk management and regulatory capital calculation). It is calculated across the various copula models detailed in the preceding section, specifically including the Gaussian copula, the Cauchy copula, a mixture copula (with weights 40%, 40%, 10%, 10%), and a Skewed Cauchy copula configured with a skewness parameter of 0.95. By comparing these models, one can observe how different dependency and tail assumptions significantly alter the resulting risk estimates. To provide an empirical baseline, the copula-based results are complemented by historical simulations and the parametric dependency structures modelled by the various copulas can be evaluated against the actual realised distributions found in the historical data. By comparing these two approaches, we can assess the extent to which different copula assumptions deviate from or align with observed market realities.</w:t>
      </w:r>
    </w:p>
    <w:p>
      <w:pPr>
        <w:pStyle w:val="CaptionedFigure"/>
      </w:pPr>
      <w:r>
        <w:drawing>
          <wp:inline>
            <wp:extent cx="4267200" cy="4414981"/>
            <wp:effectExtent b="0" l="0" r="0" t="0"/>
            <wp:docPr descr="Figure 9: Monthly 99% HVaR level and MC VaR levels with different copulas from 2020 to 2025 (all long portfolio)" title="" id="60" name="Picture"/>
            <a:graphic>
              <a:graphicData uri="http://schemas.openxmlformats.org/drawingml/2006/picture">
                <pic:pic>
                  <pic:nvPicPr>
                    <pic:cNvPr descr="figures\Var_SP500_LongAll_990u.png" id="61" name="Picture"/>
                    <pic:cNvPicPr>
                      <a:picLocks noChangeArrowheads="1" noChangeAspect="1"/>
                    </pic:cNvPicPr>
                  </pic:nvPicPr>
                  <pic:blipFill>
                    <a:blip r:embed="rId59"/>
                    <a:stretch>
                      <a:fillRect/>
                    </a:stretch>
                  </pic:blipFill>
                  <pic:spPr bwMode="auto">
                    <a:xfrm>
                      <a:off x="0" y="0"/>
                      <a:ext cx="4267200" cy="4414981"/>
                    </a:xfrm>
                    <a:prstGeom prst="rect">
                      <a:avLst/>
                    </a:prstGeom>
                    <a:noFill/>
                    <a:ln w="9525">
                      <a:noFill/>
                      <a:headEnd/>
                      <a:tailEnd/>
                    </a:ln>
                  </pic:spPr>
                </pic:pic>
              </a:graphicData>
            </a:graphic>
          </wp:inline>
        </w:drawing>
      </w:r>
    </w:p>
    <w:p>
      <w:pPr>
        <w:pStyle w:val="ImageCaption"/>
      </w:pPr>
      <w:r>
        <w:rPr>
          <w:i/>
          <w:iCs/>
        </w:rPr>
        <w:t xml:space="preserve">Figure 9: Monthly 99% HVaR level and MC VaR levels with different copulas from 2020 to 2025 (all long portfolio)</w:t>
      </w:r>
    </w:p>
    <w:p>
      <w:pPr>
        <w:pStyle w:val="BodyText"/>
      </w:pPr>
      <w:r>
        <w:t xml:space="preserve">An analysis of the time series data reveals three pronounced humps consistently present across all evaluated VaR methodologies. The synchronised appearance of these elevated risk levels provides some empirical validation for the correctness of the model’s computational implementation, as they accurately reflect the underlying market dynamics during known periods of severe macroeconomic instability. Specifically, these spikes in the VaR estimates directly correspond to major systemic shocks that occurred within the analysed timeframe: the unprecedented global market volatility triggered by the onset of the COVID-19 pandemic, the profound geopolitical turbulence and subsequent commodity crisis stemming from the war in Ukraine, and the sharp economic disruptions caused by the aggressive tariff regimes introduced following</w:t>
      </w:r>
      <w:r>
        <w:t xml:space="preserve"> </w:t>
      </w:r>
      <w:r>
        <w:t xml:space="preserve">“Liberation”</w:t>
      </w:r>
      <w:r>
        <w:t xml:space="preserve"> </w:t>
      </w:r>
      <w:r>
        <w:t xml:space="preserve">day.</w:t>
      </w:r>
    </w:p>
    <w:p>
      <w:pPr>
        <w:pStyle w:val="BodyText"/>
      </w:pPr>
      <w:r>
        <w:t xml:space="preserve">The Historical VaR (HVaR) metric generated exceptionally high value during the onset of the COVID-19 pandemic. However, these extreme peaks are likely overstated due to the methodological limitations of HVaR discussed in</w:t>
      </w:r>
      <w:r>
        <w:t xml:space="preserve"> </w:t>
      </w:r>
      <w:hyperlink w:anchor="X2df427def89a3ef237a42aa6bbd525f6362f6e2">
        <w:r>
          <w:rPr>
            <w:rStyle w:val="Hyperlink"/>
          </w:rPr>
          <w:t xml:space="preserve">section 3</w:t>
        </w:r>
      </w:hyperlink>
      <w:r>
        <w:t xml:space="preserve"> </w:t>
      </w:r>
      <w:r>
        <w:t xml:space="preserve">— most notably its over-reliance on a sparse number of discrete, severe empirical observations without the benefit of structured tail smoothing. Among the parametric MC VaR approaches evaluated, only the framework utilising the Skewed Cauchy copula reaches comparable magnitudes of 99% percentile during these highly volatile periods. By mathematically incorporating left-tail asymmetry and heavy downside dependencies, the Skewed Cauchy model consistently produces the most conservative VaR estimates. In contrast, and perfectly aligning with theoretical expectations, the standard Gaussian copula persistently generates the lowest risk figures across the observation window. This chronic underestimation is a direct consequence of the Gaussian model’s thin-tailed structure and inherent asymptotic independence, which severely restrict its capacity to properly account for the severe, synchronised asset collapses characteristic of genuine market crises.</w:t>
      </w:r>
    </w:p>
    <w:p>
      <w:pPr>
        <w:pStyle w:val="BodyText"/>
      </w:pPr>
      <w:r>
        <w:t xml:space="preserve">To ensure a comprehensive evaluation we provide our analysis of 99% VaR estimates also for a market-neutral hedged portfolio and a strictly short portfolio. By examining these distinct structural configurations, we can rigorously test the robustness and versatility of the various copula methodologies across fundamentally different directional exposures and trading strategies. Furthermore supplementary figures with additional percentiles are detailed in</w:t>
      </w:r>
      <w:r>
        <w:t xml:space="preserve"> </w:t>
      </w:r>
      <w:hyperlink w:anchor="Xd73daa0442857baf747130801d38159e2e997dd">
        <w:r>
          <w:rPr>
            <w:rStyle w:val="Hyperlink"/>
          </w:rPr>
          <w:t xml:space="preserve">Appendix C</w:t>
        </w:r>
      </w:hyperlink>
      <w:r>
        <w:t xml:space="preserve">, offering readers a deeper, more granular insight into the tail risk dynamics under varying market conditions.</w:t>
      </w:r>
    </w:p>
    <w:p>
      <w:pPr>
        <w:pStyle w:val="CaptionedFigure"/>
      </w:pPr>
      <w:r>
        <w:drawing>
          <wp:inline>
            <wp:extent cx="5943600" cy="3058430"/>
            <wp:effectExtent b="0" l="0" r="0" t="0"/>
            <wp:docPr descr="Figure 10: Monthly 99% HVaR level and MC VaR levels with different copulas from 2020 to 2025 - all short (left) and hedged (right)" title="" id="63" name="Picture"/>
            <a:graphic>
              <a:graphicData uri="http://schemas.openxmlformats.org/drawingml/2006/picture">
                <pic:pic>
                  <pic:nvPicPr>
                    <pic:cNvPr descr="figures\Var_SP500_ShortAll_Hedged_990.png" id="64" name="Picture"/>
                    <pic:cNvPicPr>
                      <a:picLocks noChangeArrowheads="1" noChangeAspect="1"/>
                    </pic:cNvPicPr>
                  </pic:nvPicPr>
                  <pic:blipFill>
                    <a:blip r:embed="rId62"/>
                    <a:stretch>
                      <a:fillRect/>
                    </a:stretch>
                  </pic:blipFill>
                  <pic:spPr bwMode="auto">
                    <a:xfrm>
                      <a:off x="0" y="0"/>
                      <a:ext cx="5943600" cy="3058430"/>
                    </a:xfrm>
                    <a:prstGeom prst="rect">
                      <a:avLst/>
                    </a:prstGeom>
                    <a:noFill/>
                    <a:ln w="9525">
                      <a:noFill/>
                      <a:headEnd/>
                      <a:tailEnd/>
                    </a:ln>
                  </pic:spPr>
                </pic:pic>
              </a:graphicData>
            </a:graphic>
          </wp:inline>
        </w:drawing>
      </w:r>
    </w:p>
    <w:p>
      <w:pPr>
        <w:pStyle w:val="ImageCaption"/>
      </w:pPr>
      <w:r>
        <w:rPr>
          <w:i/>
          <w:iCs/>
        </w:rPr>
        <w:t xml:space="preserve">Figure 10: Monthly 99% HVaR level and MC VaR levels with different copulas from 2020 to 2025 - all short (left) and hedged (right)</w:t>
      </w:r>
    </w:p>
    <w:p>
      <w:pPr>
        <w:pStyle w:val="BodyText"/>
      </w:pPr>
      <w:r>
        <w:t xml:space="preserve">During the testing of the composite dependency structures, the framework was further expanded to incorporate both independent and comonotonicity copulas into the overarching mixture blend. As illustrated in the accompanying figure 11 below, the independent copula serves as an effective mechanism for generating de-correlation scenarios, offering a structural alternative to the the Cauchy copula. By purposefully injecting instances of absolute zero dependence into the simulation, the model can realistically replicate idiosyncratic shocks or severe market breakdowns where historical asset linkages abruptly dissolve. It is noteworthy that whe this mixture copula is applied to the market-neutral hedged portfolio, it yields the most conservative 99% Value-at-Risk (VaR) estimates among all the evaluated methodologies. This is a direct consequence of the model’s design: the deliberate inclusion of de-correlation and perfect synchronization events severely disrupts the assumed offsetting positions that a hedged strategy relies upon. By simulating these hedge breakdowns, the mixture copula could expose the portfolio’s hidden vulnerabilities to sudden shifts in underlying correlation structures, thereby providing a rigorous and prudent tool for stress-testing and capital planning.</w:t>
      </w:r>
    </w:p>
    <w:p>
      <w:pPr>
        <w:pStyle w:val="CaptionedFigure"/>
      </w:pPr>
      <w:r>
        <w:drawing>
          <wp:inline>
            <wp:extent cx="5943600" cy="3034871"/>
            <wp:effectExtent b="0" l="0" r="0" t="0"/>
            <wp:docPr descr="Figure 11: Monthly 99% HVaR level and MC VaR levels with different copulas from 2020 to 2025 - all long (left) and hedged (right)" title="" id="66" name="Picture"/>
            <a:graphic>
              <a:graphicData uri="http://schemas.openxmlformats.org/drawingml/2006/picture">
                <pic:pic>
                  <pic:nvPicPr>
                    <pic:cNvPr descr="figures\Var_SP500_LongAll_Hedged_990u.png" id="67" name="Picture"/>
                    <pic:cNvPicPr>
                      <a:picLocks noChangeArrowheads="1" noChangeAspect="1"/>
                    </pic:cNvPicPr>
                  </pic:nvPicPr>
                  <pic:blipFill>
                    <a:blip r:embed="rId65"/>
                    <a:stretch>
                      <a:fillRect/>
                    </a:stretch>
                  </pic:blipFill>
                  <pic:spPr bwMode="auto">
                    <a:xfrm>
                      <a:off x="0" y="0"/>
                      <a:ext cx="5943600" cy="3034871"/>
                    </a:xfrm>
                    <a:prstGeom prst="rect">
                      <a:avLst/>
                    </a:prstGeom>
                    <a:noFill/>
                    <a:ln w="9525">
                      <a:noFill/>
                      <a:headEnd/>
                      <a:tailEnd/>
                    </a:ln>
                  </pic:spPr>
                </pic:pic>
              </a:graphicData>
            </a:graphic>
          </wp:inline>
        </w:drawing>
      </w:r>
    </w:p>
    <w:p>
      <w:pPr>
        <w:pStyle w:val="ImageCaption"/>
      </w:pPr>
      <w:r>
        <w:rPr>
          <w:i/>
          <w:iCs/>
        </w:rPr>
        <w:t xml:space="preserve">Figure 11: Monthly 99% HVaR level and MC VaR levels with different copulas from 2020 to 2025 - all long (left) and hedged (right)</w:t>
      </w:r>
    </w:p>
    <w:bookmarkEnd w:id="68"/>
    <w:bookmarkStart w:id="69" w:name="testing-optimisation"/>
    <w:p>
      <w:pPr>
        <w:pStyle w:val="Heading2"/>
      </w:pPr>
      <w:r>
        <w:t xml:space="preserve">Testing optimisation</w:t>
      </w:r>
    </w:p>
    <w:p>
      <w:pPr>
        <w:pStyle w:val="FirstParagraph"/>
      </w:pPr>
      <w:r>
        <w:t xml:space="preserve">xxx</w:t>
      </w:r>
    </w:p>
    <w:bookmarkEnd w:id="69"/>
    <w:bookmarkEnd w:id="70"/>
    <w:bookmarkStart w:id="71" w:name="resultsfindings-and-discussion"/>
    <w:p>
      <w:pPr>
        <w:pStyle w:val="Heading1"/>
      </w:pPr>
      <w:r>
        <w:t xml:space="preserve">Results/Findings and Discussion</w:t>
      </w:r>
    </w:p>
    <w:bookmarkEnd w:id="71"/>
    <w:bookmarkStart w:id="72" w:name="conclusionrecommendationsfuture-work"/>
    <w:p>
      <w:pPr>
        <w:pStyle w:val="Heading1"/>
      </w:pPr>
      <w:r>
        <w:t xml:space="preserve">Conclusion/Recommendations/Future Work</w:t>
      </w:r>
    </w:p>
    <w:bookmarkEnd w:id="72"/>
    <w:bookmarkStart w:id="79" w:name="references"/>
    <w:p>
      <w:pPr>
        <w:pStyle w:val="Heading1"/>
      </w:pPr>
      <w:r>
        <w:t xml:space="preserve">References</w:t>
      </w:r>
    </w:p>
    <w:p>
      <w:pPr>
        <w:numPr>
          <w:ilvl w:val="0"/>
          <w:numId w:val="1009"/>
        </w:numPr>
      </w:pPr>
      <w:r>
        <w:t xml:space="preserve">Jorion P., 2006. Value as Risk: The New Benchmark for Managing Financial Risk. New York: The McGraw-Hill.</w:t>
      </w:r>
    </w:p>
    <w:p>
      <w:pPr>
        <w:numPr>
          <w:ilvl w:val="0"/>
          <w:numId w:val="1009"/>
        </w:numPr>
      </w:pPr>
      <w:r>
        <w:t xml:space="preserve">Cherubini U. et al, 2004. Copula methods in finance. England: Wiley finance.</w:t>
      </w:r>
    </w:p>
    <w:p>
      <w:pPr>
        <w:numPr>
          <w:ilvl w:val="0"/>
          <w:numId w:val="1009"/>
        </w:numPr>
      </w:pPr>
      <w:r>
        <w:t xml:space="preserve">Chollet F., 2021. Deep learning with Python. New York: Manning Publications Co. </w:t>
      </w:r>
    </w:p>
    <w:p>
      <w:pPr>
        <w:numPr>
          <w:ilvl w:val="0"/>
          <w:numId w:val="1009"/>
        </w:numPr>
      </w:pPr>
      <w:r>
        <w:t xml:space="preserve">Acerbi C., Szekely B., 2014. Back-testing expected shortfall. Risk, 27(11):76–81.</w:t>
      </w:r>
    </w:p>
    <w:p>
      <w:pPr>
        <w:numPr>
          <w:ilvl w:val="0"/>
          <w:numId w:val="1009"/>
        </w:numPr>
      </w:pPr>
      <w:r>
        <w:t xml:space="preserve">Cont R. et al, 2022. Tail-GAN: Nonparametric scenario generation for tail risk estimation.</w:t>
      </w:r>
      <w:r>
        <w:t xml:space="preserve"> </w:t>
      </w:r>
      <w:hyperlink r:id="rId73">
        <w:r>
          <w:rPr>
            <w:rStyle w:val="Hyperlink"/>
          </w:rPr>
          <w:t xml:space="preserve">(link)</w:t>
        </w:r>
      </w:hyperlink>
    </w:p>
    <w:p>
      <w:pPr>
        <w:numPr>
          <w:ilvl w:val="0"/>
          <w:numId w:val="1009"/>
        </w:numPr>
      </w:pPr>
      <w:r>
        <w:t xml:space="preserve">Oh D., Patton A., 2015. Modelling dependance in High dimensions with factor copulas.</w:t>
      </w:r>
      <w:r>
        <w:t xml:space="preserve"> </w:t>
      </w:r>
      <w:hyperlink r:id="rId74">
        <w:r>
          <w:rPr>
            <w:rStyle w:val="Hyperlink"/>
          </w:rPr>
          <w:t xml:space="preserve">(link)</w:t>
        </w:r>
      </w:hyperlink>
    </w:p>
    <w:p>
      <w:pPr>
        <w:numPr>
          <w:ilvl w:val="0"/>
          <w:numId w:val="1009"/>
        </w:numPr>
      </w:pPr>
      <w:r>
        <w:t xml:space="preserve">Buhler H., Horvath B., 2021. A data-driven market simulator for small data environments.</w:t>
      </w:r>
      <w:r>
        <w:t xml:space="preserve"> </w:t>
      </w:r>
      <w:hyperlink r:id="rId75">
        <w:r>
          <w:rPr>
            <w:rStyle w:val="Hyperlink"/>
          </w:rPr>
          <w:t xml:space="preserve">(link)</w:t>
        </w:r>
      </w:hyperlink>
    </w:p>
    <w:p>
      <w:pPr>
        <w:numPr>
          <w:ilvl w:val="0"/>
          <w:numId w:val="1009"/>
        </w:numPr>
      </w:pPr>
      <w:r>
        <w:t xml:space="preserve">Horvath B. et al, 2025. Generative Models in Finance: Market Generators, a Paradigm Shift in Financial Modeling.</w:t>
      </w:r>
      <w:hyperlink r:id="rId76">
        <w:r>
          <w:rPr>
            <w:rStyle w:val="Hyperlink"/>
          </w:rPr>
          <w:t xml:space="preserve">(link)</w:t>
        </w:r>
      </w:hyperlink>
    </w:p>
    <w:p>
      <w:pPr>
        <w:numPr>
          <w:ilvl w:val="0"/>
          <w:numId w:val="1009"/>
        </w:numPr>
      </w:pPr>
      <w:r>
        <w:t xml:space="preserve">Hofert M. and Pang Z., 2025. W-transforms: Uniformity-preserving transformations and induced dependence structures.</w:t>
      </w:r>
      <w:hyperlink r:id="rId77">
        <w:r>
          <w:rPr>
            <w:rStyle w:val="Hyperlink"/>
          </w:rPr>
          <w:t xml:space="preserve">(link)</w:t>
        </w:r>
      </w:hyperlink>
    </w:p>
    <w:p>
      <w:pPr>
        <w:numPr>
          <w:ilvl w:val="0"/>
          <w:numId w:val="1009"/>
        </w:numPr>
      </w:pPr>
      <w:r>
        <w:t xml:space="preserve">Geron A., 2019. Hands-On Machine Learning with Scikit-Learn, Keras, and TensorFlow: Concepts, Tools, and Techniques to Build Intelligent Systems. Sebastopol: O’Reilly Media. 2nd Edition.</w:t>
      </w:r>
    </w:p>
    <w:p>
      <w:pPr>
        <w:numPr>
          <w:ilvl w:val="0"/>
          <w:numId w:val="1009"/>
        </w:numPr>
      </w:pPr>
      <w:r>
        <w:t xml:space="preserve">Scikit-optimize contributors, 2017 - 2020. User Guide.</w:t>
      </w:r>
      <w:hyperlink r:id="rId78">
        <w:r>
          <w:rPr>
            <w:rStyle w:val="Hyperlink"/>
          </w:rPr>
          <w:t xml:space="preserve">(link)</w:t>
        </w:r>
      </w:hyperlink>
    </w:p>
    <w:bookmarkEnd w:id="79"/>
    <w:bookmarkStart w:id="96" w:name="appendixes"/>
    <w:p>
      <w:pPr>
        <w:pStyle w:val="Heading1"/>
      </w:pPr>
      <w:r>
        <w:t xml:space="preserve">Appendixes</w:t>
      </w:r>
    </w:p>
    <w:bookmarkStart w:id="80" w:name="appendix-a-list-of-used-ai-tools"/>
    <w:p>
      <w:pPr>
        <w:pStyle w:val="Heading2"/>
      </w:pPr>
      <w:r>
        <w:t xml:space="preserve">Appendix A: List of used AI tools</w:t>
      </w:r>
    </w:p>
    <w:p>
      <w:pPr>
        <w:pStyle w:val="Compact"/>
        <w:numPr>
          <w:ilvl w:val="0"/>
          <w:numId w:val="1010"/>
        </w:numPr>
      </w:pPr>
      <w:r>
        <w:t xml:space="preserve">Gemini via Google Search and as a chatbot;</w:t>
      </w:r>
    </w:p>
    <w:p>
      <w:pPr>
        <w:pStyle w:val="Compact"/>
        <w:numPr>
          <w:ilvl w:val="0"/>
          <w:numId w:val="1010"/>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80"/>
    <w:bookmarkStart w:id="93"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82" name="Picture"/>
            <a:graphic>
              <a:graphicData uri="http://schemas.openxmlformats.org/drawingml/2006/picture">
                <pic:pic>
                  <pic:nvPicPr>
                    <pic:cNvPr descr="figures\Uniform_scenarios_Gaussian_copula_(numerical_simulation).png" id="83" name="Picture"/>
                    <pic:cNvPicPr>
                      <a:picLocks noChangeArrowheads="1" noChangeAspect="1"/>
                    </pic:cNvPicPr>
                  </pic:nvPicPr>
                  <pic:blipFill>
                    <a:blip r:embed="rId81"/>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85" name="Picture"/>
            <a:graphic>
              <a:graphicData uri="http://schemas.openxmlformats.org/drawingml/2006/picture">
                <pic:pic>
                  <pic:nvPicPr>
                    <pic:cNvPr descr="figures\Contour_plot_Gaussian_copula_(numerical_simulation).png" id="86" name="Picture"/>
                    <pic:cNvPicPr>
                      <a:picLocks noChangeArrowheads="1" noChangeAspect="1"/>
                    </pic:cNvPicPr>
                  </pic:nvPicPr>
                  <pic:blipFill>
                    <a:blip r:embed="rId8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88" name="Picture"/>
            <a:graphic>
              <a:graphicData uri="http://schemas.openxmlformats.org/drawingml/2006/picture">
                <pic:pic>
                  <pic:nvPicPr>
                    <pic:cNvPr descr="figures\Uniform_scenarios_Cauchy_copula_(numerical_simulation).png" id="89" name="Picture"/>
                    <pic:cNvPicPr>
                      <a:picLocks noChangeArrowheads="1" noChangeAspect="1"/>
                    </pic:cNvPicPr>
                  </pic:nvPicPr>
                  <pic:blipFill>
                    <a:blip r:embed="rId8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91" name="Picture"/>
            <a:graphic>
              <a:graphicData uri="http://schemas.openxmlformats.org/drawingml/2006/picture">
                <pic:pic>
                  <pic:nvPicPr>
                    <pic:cNvPr descr="figures\Contour_plot_Cauchy_copula_(numerical_simulation).png" id="92" name="Picture"/>
                    <pic:cNvPicPr>
                      <a:picLocks noChangeArrowheads="1" noChangeAspect="1"/>
                    </pic:cNvPicPr>
                  </pic:nvPicPr>
                  <pic:blipFill>
                    <a:blip r:embed="rId9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93"/>
    <w:bookmarkStart w:id="94" w:name="Xd73daa0442857baf747130801d38159e2e997dd"/>
    <w:p>
      <w:pPr>
        <w:pStyle w:val="Heading2"/>
      </w:pPr>
      <w:r>
        <w:t xml:space="preserve">Appendix C: Analysis of different VaR methodologies from 2020 to 2025</w:t>
      </w:r>
    </w:p>
    <w:bookmarkEnd w:id="94"/>
    <w:bookmarkStart w:id="95" w:name="appendix-d-code-listing"/>
    <w:p>
      <w:pPr>
        <w:pStyle w:val="Heading2"/>
      </w:pPr>
      <w:r>
        <w:t xml:space="preserve">Appendix D: Code listing</w:t>
      </w:r>
    </w:p>
    <w:bookmarkEnd w:id="95"/>
    <w:bookmarkEnd w:id="96"/>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90" Target="media/rId90.png" /><Relationship Type="http://schemas.openxmlformats.org/officeDocument/2006/relationships/image" Id="rId84" Target="media/rId84.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87" Target="media/rId87.png" /><Relationship Type="http://schemas.openxmlformats.org/officeDocument/2006/relationships/image" Id="rId81" Target="media/rId8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hyperlink" Id="rId75" Target="https://arxiv.org/abs/2006.14498" TargetMode="External" /><Relationship Type="http://schemas.openxmlformats.org/officeDocument/2006/relationships/hyperlink" Id="rId73" Target="https://arxiv.org/abs/2203.01664" TargetMode="External" /><Relationship Type="http://schemas.openxmlformats.org/officeDocument/2006/relationships/hyperlink" Id="rId77" Target="https://arxiv.org/pdf/2509.26280" TargetMode="External" /><Relationship Type="http://schemas.openxmlformats.org/officeDocument/2006/relationships/hyperlink" Id="rId76" Target="https://papers.ssrn.com/sol3/papers.cfm?abstract_id=5284313" TargetMode="External" /><Relationship Type="http://schemas.openxmlformats.org/officeDocument/2006/relationships/hyperlink" Id="rId78" Target="https://scikit-optimize.github.io/stable/" TargetMode="External" /><Relationship Type="http://schemas.openxmlformats.org/officeDocument/2006/relationships/hyperlink" Id="rId74"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75" Target="https://arxiv.org/abs/2006.14498" TargetMode="External" /><Relationship Type="http://schemas.openxmlformats.org/officeDocument/2006/relationships/hyperlink" Id="rId73" Target="https://arxiv.org/abs/2203.01664" TargetMode="External" /><Relationship Type="http://schemas.openxmlformats.org/officeDocument/2006/relationships/hyperlink" Id="rId77" Target="https://arxiv.org/pdf/2509.26280" TargetMode="External" /><Relationship Type="http://schemas.openxmlformats.org/officeDocument/2006/relationships/hyperlink" Id="rId76" Target="https://papers.ssrn.com/sol3/papers.cfm?abstract_id=5284313" TargetMode="External" /><Relationship Type="http://schemas.openxmlformats.org/officeDocument/2006/relationships/hyperlink" Id="rId78" Target="https://scikit-optimize.github.io/stable/" TargetMode="External" /><Relationship Type="http://schemas.openxmlformats.org/officeDocument/2006/relationships/hyperlink" Id="rId74"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2026-07-30T23:19:20Z</dcterms:created>
  <dcterms:modified xsi:type="dcterms:W3CDTF">2026-07-30T23:19:20Z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