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media/rId65.png" ContentType="image/png"/>
  <Override PartName="/word/media/rId59.png" ContentType="image/png"/>
  <Override PartName="/word/media/rId43.png" ContentType="image/png"/>
  <Override PartName="/word/media/rId36.png" ContentType="image/png"/>
  <Override PartName="/word/media/rId62.png" ContentType="image/png"/>
  <Override PartName="/word/media/rId56.png" ContentType="image/png"/>
  <Override PartName="/word/media/image2.wmf" ContentType="image/x-wmf"/>
  <Override PartName="/word/media/image1.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Modeling High Dimensional Joint Dependency</w:t>
      </w:r>
    </w:p>
    <w:p>
      <w:pPr>
        <w:pStyle w:val="Subtitle"/>
      </w:pPr>
      <w:r>
        <w:t xml:space="preserve">MSc Data Analytics and AI. School of Computing and Mathematical Sciences. Birkbeck, University of London</w:t>
      </w:r>
    </w:p>
    <w:p>
      <w:pPr>
        <w:pStyle w:val="Author"/>
      </w:pPr>
      <w:r>
        <w:t xml:space="preserve">Author: Sergii Arkhypov, Supervisor: Dr Alessandro Provetti</w:t>
      </w:r>
    </w:p>
    <w:p>
      <w:pPr>
        <w:pStyle w:val="Date"/>
      </w:pPr>
      <w:r>
        <w:t xml:space="preserve">30 September 2026. Word count: XXX</w:t>
      </w:r>
    </w:p>
    <w:p>
      <w:pPr>
        <w:pStyle w:val="AbstractTitle"/>
      </w:pPr>
      <w:r>
        <w:t xml:space="preserve">Abstract</w:t>
      </w:r>
    </w:p>
    <w:p>
      <w:pPr>
        <w:pStyle w:val="Abstract"/>
      </w:pPr>
      <w:r>
        <w:t xml:space="preserve">xxx to populate xxx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introduction"/>
    <w:p>
      <w:pPr>
        <w:pStyle w:val="Heading1"/>
      </w:pPr>
      <w:r>
        <w:t xml:space="preserve">Introduction</w:t>
      </w:r>
    </w:p>
    <w:p>
      <w:pPr>
        <w:pStyle w:val="FirstParagraph"/>
      </w:pPr>
      <w:r>
        <w:t xml:space="preserve">Despite the popularity of ML/AI algorithms in finance, they have mainly been used for either one or a small number of random factors. Nevertheless, joint analytics of high dimensionality (e.g., &gt;100 random factors) present serious challenges. This task is hard to address with classical statistical methods, and the available toolset is quite limited, i.e., mainly based on Gaussian copulas. There is hope that modern advances in ML/AI algorithms could help expand this toolset and provide alternative approaches for modeling high-dimensional joint dependency.</w:t>
      </w:r>
    </w:p>
    <w:p>
      <w:pPr>
        <w:pStyle w:val="TextBody"/>
      </w:pPr>
      <w:r>
        <w:t xml:space="preserve">This academic proposal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 The proposal concludes in a development plan for the project.</w:t>
      </w:r>
    </w:p>
    <w:bookmarkEnd w:id="31"/>
    <w:bookmarkStart w:id="32" w:name="aims-and-objectives"/>
    <w:p>
      <w:pPr>
        <w:pStyle w:val="Heading1"/>
      </w:pPr>
      <w:r>
        <w:t xml:space="preserve">Aims and Objectives</w:t>
      </w:r>
    </w:p>
    <w:p>
      <w:pPr>
        <w:pStyle w:val="FirstParagraph"/>
      </w:pPr>
      <w:r>
        <w:t xml:space="preserve">The main aim of this work would be to develop an algorithm for calibrating a high-dimensional copula with tail dependence different from Gaussian, while still reflecting the observed history with regards to selected measures (i.e., matching correlation matrix, matching Value-at-Risk measures or pairwise tail dependence at the specific percentile, etc.). On the simulation part, a range of different approaches can be considered, starting from semi-analytical methods to Variational Autoencoders (VAEs) and Generative Adversarial Networks (GANs).</w:t>
      </w:r>
    </w:p>
    <w:p>
      <w:pPr>
        <w:pStyle w:val="TextBody"/>
      </w:pPr>
      <w:r>
        <w:t xml:space="preserve">To illustrate and test the results project will also require to develop a software application designed for extracting and caching market data, with subsequent incorporation of calculations of portfolio Value-at-Risk (VaR) and/or Expected Shortfall (ES) measures. To achieve this, implement Monte Carlo simulations using various copulas within the application, in addition to providing support for pure the historical calculation methods.</w:t>
      </w:r>
    </w:p>
    <w:p>
      <w:pPr>
        <w:pStyle w:val="TextBody"/>
      </w:pPr>
      <w:r>
        <w:t xml:space="preserve">Upon completion of the initial software development, conduct an experimental analysis to evaluate the impact of copula assumptions on the selected VaR / ES measures across distinct portfolios. Following this, establish a calibration procedure aimed at fitting appropriate copulas to real-world market data. Lastly, devise a testing exercise to verify whether the calibrated copulas align with the prescribed conditions.</w:t>
      </w:r>
    </w:p>
    <w:bookmarkEnd w:id="32"/>
    <w:bookmarkStart w:id="42" w:name="X32b9430d5d15411fac62685483839fe9d87a9a8"/>
    <w:p>
      <w:pPr>
        <w:pStyle w:val="Heading1"/>
      </w:pPr>
      <w:r>
        <w:t xml:space="preserve">Description of the problem and relevant work</w:t>
      </w:r>
    </w:p>
    <w:bookmarkStart w:id="40" w:name="key-concepts"/>
    <w:p>
      <w:pPr>
        <w:pStyle w:val="Heading2"/>
      </w:pPr>
      <w:r>
        <w:t xml:space="preserve">Key concepts</w:t>
      </w:r>
    </w:p>
    <w:bookmarkStart w:id="33" w:name="X2df427def89a3ef237a42aa6bbd525f6362f6e2"/>
    <w:p>
      <w:pPr>
        <w:pStyle w:val="Heading3"/>
      </w:pPr>
      <w:r>
        <w:t xml:space="preserve">Value-at-Risk (VaR) and expected shortfall (ES)</w:t>
      </w:r>
    </w:p>
    <w:p>
      <w:pPr>
        <w:pStyle w:val="FirstParagraph"/>
      </w:pPr>
      <w:r>
        <w:t xml:space="preserve">Based on</w:t>
      </w:r>
      <w:r>
        <w:t xml:space="preserve"> </w:t>
      </w:r>
      <w:hyperlink w:anchor="references">
        <w:r>
          <w:rPr>
            <w:rStyle w:val="Hyperlink"/>
          </w:rPr>
          <w:t xml:space="preserve">[1]</w:t>
        </w:r>
      </w:hyperlink>
      <w:r>
        <w:t xml:space="preserve">, portfolio Value-at-risk (VaR) can be defined as the quantile (usually high 99%, 99.9% etc.) of the projected distribution of gains and loses over the target horizon. In simple terms it summarizes the worst loss that will not be exceeded with a given level of confidence.</w:t>
      </w:r>
    </w:p>
    <w:p>
      <w:pPr>
        <w:pStyle w:val="TextBody"/>
      </w:pPr>
      <m:oMathPara>
        <m:oMathParaPr>
          <m:jc m:val="center"/>
        </m:oMathParaPr>
        <m:oMath>
          <m:sSub>
            <m:e>
              <m:r>
                <m:rPr>
                  <m:nor/>
                  <m:sty m:val="p"/>
                </m:rPr>
                <m:t>VaR</m:t>
              </m:r>
            </m:e>
            <m:sub>
              <m:r>
                <m:t>α</m:t>
              </m:r>
            </m:sub>
          </m:sSub>
          <m:r>
            <m:rPr>
              <m:sty m:val="p"/>
            </m:rPr>
            <m:t>(</m:t>
          </m:r>
          <m:r>
            <m:t>L</m:t>
          </m:r>
          <m:r>
            <m:rPr>
              <m:sty m:val="p"/>
            </m:rPr>
            <m:t>)</m:t>
          </m:r>
          <m:r>
            <m:rPr>
              <m:sty m:val="p"/>
            </m:rPr>
            <m:t>=</m:t>
          </m:r>
          <m:sSubSup>
            <m:e>
              <m:r>
                <m:t>F</m:t>
              </m:r>
            </m:e>
            <m:sub>
              <m:r>
                <m:t>L</m:t>
              </m:r>
            </m:sub>
            <m:sup>
              <m:r>
                <m:rPr>
                  <m:sty m:val="p"/>
                </m:rPr>
                <m:t>−</m:t>
              </m:r>
              <m:r>
                <m:t>1</m:t>
              </m:r>
            </m:sup>
          </m:sSubSup>
          <m:r>
            <m:rPr>
              <m:sty m:val="p"/>
            </m:rPr>
            <m:t>(</m:t>
          </m:r>
          <m:r>
            <m:t>α</m:t>
          </m:r>
          <m:r>
            <m:rPr>
              <m:sty m:val="p"/>
            </m:rPr>
            <m:t>)</m:t>
          </m:r>
        </m:oMath>
      </m:oMathPara>
    </w:p>
    <w:p>
      <w:pPr>
        <w:pStyle w:val="FirstParagraph"/>
      </w:pPr>
      <w:r>
        <w:t xml:space="preserve">where</w:t>
      </w:r>
      <w:r>
        <w:t xml:space="preserve"> </w:t>
      </w:r>
      <m:oMath>
        <m:r>
          <m:t>α</m:t>
        </m:r>
      </m:oMath>
      <w:r>
        <w:t xml:space="preserve"> </w:t>
      </w:r>
      <w:r>
        <w:t xml:space="preserve">is a confidence level and</w:t>
      </w:r>
      <w:r>
        <w:t xml:space="preserve"> </w:t>
      </w:r>
      <m:oMath>
        <m:sSubSup>
          <m:e>
            <m:r>
              <m:t>F</m:t>
            </m:r>
          </m:e>
          <m:sub>
            <m:r>
              <m:t>L</m:t>
            </m:r>
          </m:sub>
          <m:sup>
            <m:r>
              <m:rPr>
                <m:sty m:val="p"/>
              </m:rPr>
              <m:t>−</m:t>
            </m:r>
            <m:r>
              <m:t>1</m:t>
            </m:r>
          </m:sup>
        </m:sSubSup>
      </m:oMath>
      <w:r>
        <w:t xml:space="preserve"> </w:t>
      </w:r>
      <w:r>
        <w:t xml:space="preserve">is an inverted loss distribution.</w:t>
      </w:r>
    </w:p>
    <w:p>
      <w:pPr>
        <w:pStyle w:val="TextBody"/>
      </w:pPr>
      <w:r>
        <w:t xml:space="preserve">On the other hand, Expected Shortfall (ES) measures the average loss in the tail of a loss distribution.</w:t>
      </w:r>
    </w:p>
    <w:p>
      <w:pPr>
        <w:pStyle w:val="TextBody"/>
      </w:pPr>
      <m:oMathPara>
        <m:oMathParaPr>
          <m:jc m:val="center"/>
        </m:oMathParaPr>
        <m:oMath>
          <m:r>
            <m:t>E</m:t>
          </m:r>
          <m:sSub>
            <m:e>
              <m:r>
                <m:t>S</m:t>
              </m:r>
            </m:e>
            <m:sub>
              <m:r>
                <m:t>α</m:t>
              </m:r>
            </m:sub>
          </m:sSub>
          <m:r>
            <m:rPr>
              <m:sty m:val="p"/>
            </m:rPr>
            <m:t>(</m:t>
          </m:r>
          <m:r>
            <m:t>L</m:t>
          </m:r>
          <m:r>
            <m:rPr>
              <m:sty m:val="p"/>
            </m:rPr>
            <m:t>)</m:t>
          </m:r>
          <m:r>
            <m:rPr>
              <m:sty m:val="p"/>
            </m:rPr>
            <m:t>=</m:t>
          </m:r>
          <m:r>
            <m:t>1</m:t>
          </m:r>
          <m:r>
            <m:rPr>
              <m:sty m:val="p"/>
            </m:rPr>
            <m:t>/</m:t>
          </m:r>
          <m:r>
            <m:rPr>
              <m:sty m:val="p"/>
            </m:rPr>
            <m:t>(</m:t>
          </m:r>
          <m:r>
            <m:t>1</m:t>
          </m:r>
          <m:r>
            <m:rPr>
              <m:sty m:val="p"/>
            </m:rPr>
            <m:t>−</m:t>
          </m:r>
          <m:r>
            <m:t>α</m:t>
          </m:r>
          <m:r>
            <m:rPr>
              <m:sty m:val="p"/>
            </m:rPr>
            <m:t>)</m:t>
          </m:r>
          <m:nary>
            <m:naryPr>
              <m:chr m:val="∫"/>
              <m:limLoc m:val="subSup"/>
              <m:subHide m:val="off"/>
              <m:supHide m:val="off"/>
            </m:naryPr>
            <m:sub>
              <m:r>
                <m:t>α</m:t>
              </m:r>
            </m:sub>
            <m:sup>
              <m:r>
                <m:t>1</m:t>
              </m:r>
            </m:sup>
            <m:e>
              <m:r>
                <m:t>V</m:t>
              </m:r>
            </m:e>
          </m:nary>
          <m:r>
            <m:t>a</m:t>
          </m:r>
          <m:sSub>
            <m:e>
              <m:r>
                <m:t>R</m:t>
              </m:r>
            </m:e>
            <m:sub>
              <m:r>
                <m:t>p</m:t>
              </m:r>
            </m:sub>
          </m:sSub>
          <m:r>
            <m:rPr>
              <m:sty m:val="p"/>
            </m:rPr>
            <m:t>(</m:t>
          </m:r>
          <m:r>
            <m:t>L</m:t>
          </m:r>
          <m:r>
            <m:rPr>
              <m:sty m:val="p"/>
            </m:rPr>
            <m:t>)</m:t>
          </m:r>
          <m:r>
            <m:t>d</m:t>
          </m:r>
          <m:r>
            <m:t>p</m:t>
          </m:r>
        </m:oMath>
      </m:oMathPara>
    </w:p>
    <w:p>
      <w:pPr>
        <w:pStyle w:val="FirstParagraph"/>
      </w:pPr>
      <w:r>
        <w:t xml:space="preserve">Additional details and relevant industry discussion about ES are available in</w:t>
      </w:r>
      <w:r>
        <w:t xml:space="preserve"> </w:t>
      </w:r>
      <w:hyperlink w:anchor="references">
        <w:r>
          <w:rPr>
            <w:rStyle w:val="Hyperlink"/>
          </w:rPr>
          <w:t xml:space="preserve">[4]</w:t>
        </w:r>
      </w:hyperlink>
      <w:r>
        <w:t xml:space="preserve">.</w:t>
      </w:r>
    </w:p>
    <w:p>
      <w:pPr>
        <w:pStyle w:val="TextBody"/>
      </w:pPr>
      <w:r>
        <w:t xml:space="preserve">There are several main contesting industry spread approaches (see</w:t>
      </w:r>
      <w:r>
        <w:t xml:space="preserve"> </w:t>
      </w:r>
      <w:hyperlink w:anchor="references">
        <w:r>
          <w:rPr>
            <w:rStyle w:val="Hyperlink"/>
          </w:rPr>
          <w:t xml:space="preserve">[1]</w:t>
        </w:r>
      </w:hyperlink>
      <w:r>
        <w:t xml:space="preserve"> </w:t>
      </w:r>
      <w:r>
        <w:t xml:space="preserve">for additional details):</w:t>
      </w:r>
    </w:p>
    <w:p>
      <w:pPr>
        <w:pStyle w:val="Compact"/>
        <w:numPr>
          <w:ilvl w:val="0"/>
          <w:numId w:val="1001"/>
        </w:numPr>
      </w:pPr>
      <w:r>
        <w:t xml:space="preserve">Historical Value-at-Risk (HVaR),</w:t>
      </w:r>
    </w:p>
    <w:p>
      <w:pPr>
        <w:pStyle w:val="Compact"/>
        <w:numPr>
          <w:ilvl w:val="0"/>
          <w:numId w:val="1001"/>
        </w:numPr>
      </w:pPr>
      <w:r>
        <w:t xml:space="preserve">Monte Carlo Value-at-Risk (MC VaR),</w:t>
      </w:r>
    </w:p>
    <w:p>
      <w:pPr>
        <w:pStyle w:val="Compact"/>
        <w:numPr>
          <w:ilvl w:val="0"/>
          <w:numId w:val="1001"/>
        </w:numPr>
      </w:pPr>
      <w:r>
        <w:t xml:space="preserve">and their hybrids.</w:t>
      </w:r>
    </w:p>
    <w:p>
      <w:pPr>
        <w:pStyle w:val="FirstParagraph"/>
      </w:pPr>
      <w:r>
        <w:t xml:space="preserve">When assessing Historical Value-at-Risk (HVaR), several inherent limitations are apparent, particularly when applied to high-percentile risk measures i.e. its inability to estimate extreme percentiles beyond the 99% threshold, as the method relies solely on observed historical data, which often lacks sufficient extreme observations to produce stable tail estimates (e.g. 1 year of data means approx. 250 observations, so the worst one would correspond to 99.6 % and hence being quite unstable). While HVaR does allow for filtration techniques to refine marginal distributions, this flexibility does not extend to the dependence structure, meaning it cannot effectively separate the modelling of marginals from the copula that links them. As a result, the approach struggles to capture complex joint behaviors in a structured way. Another related critical drawback is the high numerical error associated with HVaR, stemming from the finite and often sparse nature of historical data, especially in the tails. On the other hand, the relative strength of the method is its low model error, since it does not impose strong parametric assumptions but instead directly uses empirical distributions. This makes it robust in scenarios where the true data-generating process is unknown, though at the cost of precision in extreme quantiles.</w:t>
      </w:r>
    </w:p>
    <w:p>
      <w:pPr>
        <w:pStyle w:val="TextBody"/>
      </w:pPr>
      <w:r>
        <w:t xml:space="preserve">In contrast, Monte Carlo Value-at-Risk (MC VaR), whether based on parametric assumptions or Extreme Value Theory (EVT), offers distinct advantages for high-percentile risk estimation. Unlike HVaR, these methods are well-suited for quantiles far beyond 99%, as they generate synthetic data to populate the tails more densely. A key structural benefit is their ability to decouple marginal distributions from the copula, allowing for independent calibration of each component. This separation enhances flexibility in modelling dependence structure while maintaining control over individual risk factors.</w:t>
      </w:r>
    </w:p>
    <w:p>
      <w:pPr>
        <w:pStyle w:val="TextBody"/>
      </w:pPr>
      <w:r>
        <w:t xml:space="preserve">From a computational perspective, MC VaR methods exhibit low numerical error, as the simulated datasets can be made arbitrarily large to smooth out estimation noise. However, this precision comes at the expense of higher model error, particularly when parametric assumptions are misspecified or when EVT extrapolations deviate from true tail behavior. While these methods provide greater control and extensibility in extreme risk modelling, their reliability hinges on the accuracy of the underlying assumptions, whether in the choice of distributions copula functions, or tail decay parameters.</w:t>
      </w:r>
    </w:p>
    <w:bookmarkEnd w:id="33"/>
    <w:bookmarkStart w:id="35" w:name="copulas."/>
    <w:p>
      <w:pPr>
        <w:pStyle w:val="Heading3"/>
      </w:pPr>
      <w:r>
        <w:t xml:space="preserve">Copulas.</w:t>
      </w:r>
    </w:p>
    <w:p>
      <w:pPr>
        <w:pStyle w:val="FirstParagraph"/>
      </w:pPr>
      <w:r>
        <w:t xml:space="preserve">In this section we briefly introduce the concept of copulas and provide additional references, followed by the impacts it could have on VaR/ES measures.</w:t>
      </w:r>
    </w:p>
    <w:p>
      <w:pPr>
        <w:pStyle w:val="TextBody"/>
      </w:pPr>
      <m:oMath>
        <m:r>
          <m:t>C</m:t>
        </m:r>
        <m:r>
          <m:rPr>
            <m:sty m:val="p"/>
          </m:rPr>
          <m:t>:</m:t>
        </m:r>
        <m:r>
          <m:rPr>
            <m:sty m:val="p"/>
          </m:rPr>
          <m:t>[</m:t>
        </m:r>
        <m:r>
          <m:t>0</m:t>
        </m:r>
        <m:r>
          <m:rPr>
            <m:sty m:val="p"/>
          </m:rPr>
          <m:t>,</m:t>
        </m:r>
        <m:r>
          <m:t>1</m:t>
        </m:r>
        <m:sSup>
          <m:e>
            <m:r>
              <m:rPr>
                <m:sty m:val="p"/>
              </m:rPr>
              <m:t>]</m:t>
            </m:r>
          </m:e>
          <m:sup>
            <m:r>
              <m:t>d</m:t>
            </m:r>
          </m:sup>
        </m:sSup>
        <m:r>
          <m:rPr>
            <m:sty m:val="p"/>
          </m:rPr>
          <m:t>−</m:t>
        </m:r>
        <m:r>
          <m:rPr>
            <m:sty m:val="p"/>
          </m:rPr>
          <m:t>&gt;</m:t>
        </m:r>
        <m:r>
          <m:rPr>
            <m:sty m:val="p"/>
          </m:rPr>
          <m:t>[</m:t>
        </m:r>
        <m:r>
          <m:t>0</m:t>
        </m:r>
        <m:r>
          <m:rPr>
            <m:sty m:val="p"/>
          </m:rPr>
          <m:t>,</m:t>
        </m:r>
        <m:r>
          <m:t>1</m:t>
        </m:r>
        <m:r>
          <m:rPr>
            <m:sty m:val="p"/>
          </m:rPr>
          <m:t>]</m:t>
        </m:r>
      </m:oMath>
      <w:r>
        <w:t xml:space="preserve"> </w:t>
      </w:r>
      <w:r>
        <w:t xml:space="preserve">is a d-dimentional copula if</w:t>
      </w:r>
      <w:r>
        <w:t xml:space="preserve"> </w:t>
      </w:r>
      <m:oMath>
        <m:r>
          <m:t>C</m:t>
        </m:r>
      </m:oMath>
      <w:r>
        <w:t xml:space="preserve"> </w:t>
      </w:r>
      <w:r>
        <w:t xml:space="preserve">is a joint cumulative distribution function of a d-dimentional random vector on the unit cube</w:t>
      </w:r>
      <w:r>
        <w:t xml:space="preserve"> </w:t>
      </w:r>
      <m:oMath>
        <m:r>
          <m:rPr>
            <m:sty m:val="p"/>
          </m:rPr>
          <m:t>[</m:t>
        </m:r>
        <m:r>
          <m:t>0</m:t>
        </m:r>
        <m:r>
          <m:rPr>
            <m:sty m:val="p"/>
          </m:rPr>
          <m:t>,</m:t>
        </m:r>
        <m:r>
          <m:t>1</m:t>
        </m:r>
        <m:sSup>
          <m:e>
            <m:r>
              <m:rPr>
                <m:sty m:val="p"/>
              </m:rPr>
              <m:t>]</m:t>
            </m:r>
          </m:e>
          <m:sup>
            <m:r>
              <m:t>d</m:t>
            </m:r>
          </m:sup>
        </m:sSup>
      </m:oMath>
      <w:r>
        <w:t xml:space="preserve"> </w:t>
      </w:r>
      <w:r>
        <w:t xml:space="preserve">with uniform marginals.</w:t>
      </w:r>
    </w:p>
    <w:p>
      <w:pPr>
        <w:pStyle w:val="TextBody"/>
      </w:pPr>
      <w:r>
        <w:t xml:space="preserve">Sklar’s theorem. Every multivariate cumulative distribution function</w:t>
      </w:r>
      <w:r>
        <w:t xml:space="preserve"> </w:t>
      </w:r>
      <m:oMath>
        <m:r>
          <m:t>H</m:t>
        </m:r>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r>
          <m:rPr>
            <m:sty m:val="p"/>
          </m:rPr>
          <m:t>=</m:t>
        </m:r>
        <m:r>
          <m:t>P</m:t>
        </m:r>
        <m:r>
          <m:t>r</m:t>
        </m:r>
        <m:r>
          <m:rPr>
            <m:sty m:val="p"/>
          </m:rPr>
          <m:t>[</m:t>
        </m:r>
        <m:sSub>
          <m:e>
            <m:r>
              <m:t>X</m:t>
            </m:r>
          </m:e>
          <m:sub>
            <m:r>
              <m:t>1</m:t>
            </m:r>
          </m:sub>
        </m:sSub>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sSub>
          <m:e>
            <m:r>
              <m:t>x</m:t>
            </m:r>
          </m:e>
          <m:sub>
            <m:r>
              <m:t>d</m:t>
            </m:r>
          </m:sub>
        </m:sSub>
        <m:r>
          <m:rPr>
            <m:sty m:val="p"/>
          </m:rPr>
          <m:t>]</m:t>
        </m:r>
      </m:oMath>
      <w:r>
        <w:t xml:space="preserve"> </w:t>
      </w:r>
      <w:r>
        <w:t xml:space="preserve">of a random</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d</m:t>
            </m:r>
          </m:sub>
        </m:sSub>
        <m:r>
          <m:rPr>
            <m:sty m:val="p"/>
          </m:rPr>
          <m:t>)</m:t>
        </m:r>
      </m:oMath>
      <w:r>
        <w:t xml:space="preserve"> </w:t>
      </w:r>
      <w:r>
        <w:t xml:space="preserve">can be expressed in terms of its marginals</w:t>
      </w:r>
      <w:r>
        <w:t xml:space="preserve"> </w:t>
      </w:r>
      <m:oMath>
        <m:sSub>
          <m:e>
            <m:r>
              <m:t>F</m:t>
            </m:r>
          </m:e>
          <m:sub>
            <m:r>
              <m:t>i</m:t>
            </m:r>
          </m:sub>
        </m:sSub>
        <m:r>
          <m:rPr>
            <m:sty m:val="p"/>
          </m:rPr>
          <m:t>(</m:t>
        </m:r>
        <m:sSub>
          <m:e>
            <m:r>
              <m:t>x</m:t>
            </m:r>
          </m:e>
          <m:sub>
            <m:r>
              <m:t>i</m:t>
            </m:r>
          </m:sub>
        </m:sSub>
        <m:r>
          <m:rPr>
            <m:sty m:val="p"/>
          </m:rPr>
          <m:t>)</m:t>
        </m:r>
        <m:r>
          <m:rPr>
            <m:sty m:val="p"/>
          </m:rPr>
          <m:t>=</m:t>
        </m:r>
        <m:r>
          <m:t>P</m:t>
        </m:r>
        <m:r>
          <m:t>r</m:t>
        </m:r>
        <m:r>
          <m:rPr>
            <m:sty m:val="p"/>
          </m:rPr>
          <m:t>[</m:t>
        </m:r>
        <m:sSub>
          <m:e>
            <m:r>
              <m:t>X</m:t>
            </m:r>
          </m:e>
          <m:sub>
            <m:r>
              <m:t>i</m:t>
            </m:r>
          </m:sub>
        </m:sSub>
        <m:r>
          <m:rPr>
            <m:sty m:val="p"/>
          </m:rPr>
          <m:t>≤</m:t>
        </m:r>
        <m:sSub>
          <m:e>
            <m:r>
              <m:t>x</m:t>
            </m:r>
          </m:e>
          <m:sub>
            <m:r>
              <m:t>i</m:t>
            </m:r>
          </m:sub>
        </m:sSub>
        <m:r>
          <m:rPr>
            <m:sty m:val="p"/>
          </m:rPr>
          <m:t>]</m:t>
        </m:r>
      </m:oMath>
      <w:r>
        <w:t xml:space="preserve"> </w:t>
      </w:r>
      <w:r>
        <w:t xml:space="preserve">and a copula</w:t>
      </w:r>
      <w:r>
        <w:t xml:space="preserve"> </w:t>
      </w:r>
      <m:oMath>
        <m:r>
          <m:t>C</m:t>
        </m:r>
      </m:oMath>
      <w:r>
        <w:t xml:space="preserve">, as:</w:t>
      </w:r>
    </w:p>
    <w:p>
      <w:pPr>
        <w:pStyle w:val="TextBody"/>
      </w:pPr>
      <w:bookmarkStart w:id="34" w:name="eq1"/>
      <m:oMathPara>
        <m:oMathParaPr>
          <m:jc m:val="center"/>
        </m:oMathParaPr>
        <m:oMath>
          <m:r>
            <m:t>H</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d</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r>
            <m:rPr>
              <m:sty m:val="p"/>
            </m:rPr>
            <m:t>.</m:t>
          </m:r>
          <m:r>
            <m:rPr>
              <m:sty m:val="p"/>
            </m:rPr>
            <m:t>.</m:t>
          </m:r>
          <m:r>
            <m:rPr>
              <m:sty m:val="p"/>
            </m:rPr>
            <m:t>.</m:t>
          </m:r>
          <m:r>
            <m:rPr>
              <m:sty m:val="p"/>
            </m:rPr>
            <m:t>,</m:t>
          </m:r>
          <m:sSub>
            <m:e>
              <m:r>
                <m:t>F</m:t>
              </m:r>
            </m:e>
            <m:sub>
              <m:r>
                <m:t>d</m:t>
              </m:r>
            </m:sub>
          </m:sSub>
          <m:r>
            <m:rPr>
              <m:sty m:val="p"/>
            </m:rPr>
            <m:t>(</m:t>
          </m:r>
          <m:sSub>
            <m:e>
              <m:r>
                <m:t>x</m:t>
              </m:r>
            </m:e>
            <m:sub>
              <m:r>
                <m:t>d</m:t>
              </m:r>
            </m:sub>
          </m:sSub>
          <m:r>
            <m:rPr>
              <m:sty m:val="p"/>
            </m:rPr>
            <m:t>)</m:t>
          </m:r>
          <m:r>
            <m:rPr>
              <m:sty m:val="p"/>
            </m:rPr>
            <m:t>)</m:t>
          </m:r>
          <m:r>
            <m:t> </m:t>
          </m:r>
          <m:r>
            <m:t> </m:t>
          </m:r>
          <m:r>
            <m:t> </m:t>
          </m:r>
          <m:r>
            <m:t> </m:t>
          </m:r>
          <m:r>
            <m:rPr>
              <m:sty m:val="p"/>
            </m:rPr>
            <m:t>(</m:t>
          </m:r>
          <m:r>
            <m:t>E</m:t>
          </m:r>
          <m:r>
            <m:t>q</m:t>
          </m:r>
          <m:r>
            <m:t>.1</m:t>
          </m:r>
          <m:r>
            <m:rPr>
              <m:sty m:val="p"/>
            </m:rPr>
            <m:t>)</m:t>
          </m:r>
        </m:oMath>
      </m:oMathPara>
      <w:bookmarkEnd w:id="34"/>
    </w:p>
    <w:p>
      <w:pPr>
        <w:pStyle w:val="FirstParagraph"/>
      </w:pPr>
      <w:r>
        <w:t xml:space="preserve">For more details on copula and their applications in finance please see</w:t>
      </w:r>
      <w:r>
        <w:t xml:space="preserve"> </w:t>
      </w:r>
      <w:hyperlink w:anchor="references">
        <w:r>
          <w:rPr>
            <w:rStyle w:val="Hyperlink"/>
          </w:rPr>
          <w:t xml:space="preserve">[2]</w:t>
        </w:r>
      </w:hyperlink>
      <w:r>
        <w:t xml:space="preserve">. However it is important to introduce several properties of the copulas which will be significant for the current project:</w:t>
      </w:r>
    </w:p>
    <w:p>
      <w:pPr>
        <w:numPr>
          <w:ilvl w:val="0"/>
          <w:numId w:val="1002"/>
        </w:numPr>
      </w:pPr>
      <w:r>
        <w:t xml:space="preserve">A convex combination of copulas is also a copula. It is often called a mixture copula and can be expressed as a weighted sum of copulas</w:t>
      </w:r>
      <w:r>
        <w:t xml:space="preserve"> </w:t>
      </w:r>
      <m:oMath>
        <m:sSub>
          <m:e>
            <m:r>
              <m:t>C</m:t>
            </m:r>
          </m:e>
          <m:sub>
            <m:r>
              <m:t>i</m:t>
            </m:r>
          </m:sub>
        </m:sSub>
      </m:oMath>
      <w:r>
        <w:t xml:space="preserve">, defined as</w:t>
      </w:r>
      <w:r>
        <w:t xml:space="preserve"> </w:t>
      </w:r>
      <m:oMath>
        <m:sSub>
          <m:e>
            <m:r>
              <m:t>C</m:t>
            </m:r>
          </m:e>
          <m:sub>
            <m:r>
              <m:t>m</m:t>
            </m:r>
            <m:r>
              <m:t>i</m:t>
            </m:r>
            <m:r>
              <m:t>x</m:t>
            </m:r>
          </m:sub>
        </m:sSub>
        <m:r>
          <m:rPr>
            <m:sty m:val="p"/>
          </m:rPr>
          <m:t>=</m:t>
        </m:r>
        <m:sSubSup>
          <m:e>
            <m:r>
              <m:rPr>
                <m:sty m:val="p"/>
              </m:rPr>
              <m:t>Σ</m:t>
            </m:r>
          </m:e>
          <m:sub>
            <m:r>
              <m:t>i</m:t>
            </m:r>
            <m:r>
              <m:rPr>
                <m:sty m:val="p"/>
              </m:rPr>
              <m:t>=</m:t>
            </m:r>
            <m:r>
              <m:t>1</m:t>
            </m:r>
          </m:sub>
          <m:sup>
            <m:r>
              <m:t>n</m:t>
            </m:r>
          </m:sup>
        </m:sSubSup>
        <m:sSub>
          <m:e>
            <m:r>
              <m:t>w</m:t>
            </m:r>
          </m:e>
          <m:sub>
            <m:r>
              <m:t>i</m:t>
            </m:r>
          </m:sub>
        </m:sSub>
        <m:sSub>
          <m:e>
            <m:r>
              <m:t>C</m:t>
            </m:r>
          </m:e>
          <m:sub>
            <m:r>
              <m:t>i</m:t>
            </m:r>
          </m:sub>
        </m:sSub>
        <m:r>
          <m:rPr>
            <m:sty m:val="p"/>
          </m:rPr>
          <m:t>(</m:t>
        </m:r>
        <m:r>
          <m:t>u</m:t>
        </m:r>
        <m:r>
          <m:rPr>
            <m:sty m:val="p"/>
          </m:rPr>
          <m:t>,</m:t>
        </m:r>
        <m:r>
          <m:t>v</m:t>
        </m:r>
        <m:r>
          <m:rPr>
            <m:sty m:val="p"/>
          </m:rPr>
          <m:t>)</m:t>
        </m:r>
      </m:oMath>
      <w:r>
        <w:t xml:space="preserve">, where all</w:t>
      </w:r>
      <w:r>
        <w:t xml:space="preserve"> </w:t>
      </w:r>
      <m:oMath>
        <m:sSub>
          <m:e>
            <m:r>
              <m:t>w</m:t>
            </m:r>
          </m:e>
          <m:sub>
            <m:r>
              <m:t>i</m:t>
            </m:r>
          </m:sub>
        </m:sSub>
        <m:r>
          <m:rPr>
            <m:sty m:val="p"/>
          </m:rPr>
          <m:t>&gt;</m:t>
        </m:r>
        <m:r>
          <m:t>0</m:t>
        </m:r>
      </m:oMath>
      <w:r>
        <w:t xml:space="preserve"> </w:t>
      </w:r>
      <w:r>
        <w:t xml:space="preserve">and sum to one</w:t>
      </w:r>
      <w:r>
        <w:t xml:space="preserve"> </w:t>
      </w:r>
      <m:oMath>
        <m:sSubSup>
          <m:e>
            <m:r>
              <m:rPr>
                <m:sty m:val="p"/>
              </m:rPr>
              <m:t>Σ</m:t>
            </m:r>
          </m:e>
          <m:sub>
            <m:r>
              <m:t>i</m:t>
            </m:r>
            <m:r>
              <m:rPr>
                <m:sty m:val="p"/>
              </m:rPr>
              <m:t>=</m:t>
            </m:r>
            <m:r>
              <m:t>1</m:t>
            </m:r>
          </m:sub>
          <m:sup>
            <m:r>
              <m:t>n</m:t>
            </m:r>
          </m:sup>
        </m:sSubSup>
        <m:sSub>
          <m:e>
            <m:r>
              <m:t>w</m:t>
            </m:r>
          </m:e>
          <m:sub>
            <m:r>
              <m:t>i</m:t>
            </m:r>
          </m:sub>
        </m:sSub>
        <m:r>
          <m:rPr>
            <m:sty m:val="p"/>
          </m:rPr>
          <m:t>=</m:t>
        </m:r>
        <m:r>
          <m:t>1</m:t>
        </m:r>
      </m:oMath>
      <w:r>
        <w:t xml:space="preserve">.</w:t>
      </w:r>
    </w:p>
    <w:p>
      <w:pPr>
        <w:numPr>
          <w:ilvl w:val="0"/>
          <w:numId w:val="1002"/>
        </w:numPr>
      </w:pPr>
      <w:r>
        <w:t xml:space="preserve">Exists a set of functions (W-transforms) applied to copula and also returning copula but with modified properties. For additional details on these transformations and their properties please see</w:t>
      </w:r>
      <w:r>
        <w:t xml:space="preserve"> </w:t>
      </w:r>
      <w:hyperlink w:anchor="references">
        <w:r>
          <w:rPr>
            <w:rStyle w:val="Hyperlink"/>
          </w:rPr>
          <w:t xml:space="preserve">[9]</w:t>
        </w:r>
      </w:hyperlink>
      <w:r>
        <w:t xml:space="preserve">.</w:t>
      </w:r>
    </w:p>
    <w:bookmarkEnd w:id="35"/>
    <w:bookmarkStart w:id="39" w:name="copulas-in-value-at-risk"/>
    <w:p>
      <w:pPr>
        <w:pStyle w:val="Heading3"/>
      </w:pPr>
      <w:r>
        <w:t xml:space="preserve">Copulas in Value-at-Risk</w:t>
      </w:r>
    </w:p>
    <w:p>
      <w:pPr>
        <w:pStyle w:val="FirstParagraph"/>
      </w:pPr>
      <w:r>
        <w:t xml:space="preserve">The selection of a copula has a profound influence on the assessment of tail‑risk measures such as Value‑at‑Risk (VaR) / Expected Shortfall (ES). This influence becomes increasingly pronounced as we move to more extreme quantiles (e.g. 99 % and 99.9 % VaR). The principal limitation of the Gaussian copula lies in its asymptotic independence: as one approach the far ends of the distribution, the probability that two (or more) variables exceed a high threshold simultaneously tends to zero at the same rate as if the variables were independent. Consequently, the Gaussian copula systematically under‑estimates the likelihood of joint extreme events and, therefore, under‑states tail‑risk metrics.</w:t>
      </w:r>
    </w:p>
    <w:p>
      <w:pPr>
        <w:pStyle w:val="TextBody"/>
      </w:pPr>
      <w:r>
        <w:t xml:space="preserve">Tail dependence provides a concise way to expose this shortcoming, some introduction to the use of tail dependence can be found in</w:t>
      </w:r>
      <w:r>
        <w:t xml:space="preserve"> </w:t>
      </w:r>
      <w:hyperlink w:anchor="references">
        <w:r>
          <w:rPr>
            <w:rStyle w:val="Hyperlink"/>
          </w:rPr>
          <w:t xml:space="preserve">[6]</w:t>
        </w:r>
      </w:hyperlink>
      <w:r>
        <w:t xml:space="preserve">. Formulas below define lower and upper tail dependence respectively:</w:t>
      </w:r>
    </w:p>
    <w:p>
      <w:pPr>
        <w:pStyle w:val="TextBody"/>
      </w:pPr>
      <m:oMathPara>
        <m:oMathParaPr>
          <m:jc m:val="center"/>
        </m:oMathParaPr>
        <m:oMath>
          <m:sSubSup>
            <m:e>
              <m:r>
                <m:t>τ</m:t>
              </m:r>
            </m:e>
            <m:sub>
              <m:r>
                <m:t>i</m:t>
              </m:r>
              <m:r>
                <m:t>j</m:t>
              </m:r>
            </m:sub>
            <m:sup>
              <m:r>
                <m:t>L</m:t>
              </m:r>
            </m:sup>
          </m:sSubSup>
          <m:r>
            <m:rPr>
              <m:sty m:val="p"/>
            </m:rPr>
            <m:t>=</m:t>
          </m:r>
          <m:limLow>
            <m:e>
              <m:r>
                <m:rPr>
                  <m:sty m:val="p"/>
                </m:rPr>
                <m:t>lim</m:t>
              </m:r>
            </m:e>
            <m:lim>
              <m:r>
                <m:t>q</m:t>
              </m:r>
              <m:r>
                <m:rPr>
                  <m:sty m:val="p"/>
                </m:rPr>
                <m:t>→</m:t>
              </m:r>
              <m:sSup>
                <m:e>
                  <m:r>
                    <m:t>0</m:t>
                  </m:r>
                </m:e>
                <m:sup>
                  <m:r>
                    <m:rPr>
                      <m:sty m:val="p"/>
                    </m:rPr>
                    <m:t>+</m:t>
                  </m:r>
                </m:sup>
              </m:sSup>
            </m:lim>
          </m:limLow>
          <m:r>
            <m:t>P</m:t>
          </m:r>
          <m:r>
            <m:rPr>
              <m:sty m:val="p"/>
            </m:rPr>
            <m:t>[</m:t>
          </m:r>
          <m:sSub>
            <m:e>
              <m:r>
                <m:t>X</m:t>
              </m:r>
            </m:e>
            <m:sub>
              <m:r>
                <m:t>i</m:t>
              </m:r>
            </m:sub>
          </m:sSub>
          <m:r>
            <m:rPr>
              <m:sty m:val="p"/>
            </m:rPr>
            <m: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m:t>
          </m:r>
          <m:sSubSup>
            <m:e>
              <m:r>
                <m:t>G</m:t>
              </m:r>
            </m:e>
            <m:sub>
              <m:r>
                <m:t>j</m:t>
              </m:r>
            </m:sub>
            <m:sup>
              <m:r>
                <m:rPr>
                  <m:sty m:val="p"/>
                </m:rPr>
                <m:t>−</m:t>
              </m:r>
              <m:r>
                <m:t>1</m:t>
              </m:r>
            </m:sup>
          </m:sSubSup>
          <m:r>
            <m:rPr>
              <m:sty m:val="p"/>
            </m:rPr>
            <m:t>(</m:t>
          </m:r>
          <m:r>
            <m:t>q</m:t>
          </m:r>
          <m:r>
            <m:rPr>
              <m:sty m:val="p"/>
            </m:rPr>
            <m:t>)</m:t>
          </m:r>
          <m:r>
            <m:rPr>
              <m:sty m:val="p"/>
            </m:rPr>
            <m:t>]</m:t>
          </m:r>
          <m:r>
            <m:rPr>
              <m:sty m:val="p"/>
            </m:rPr>
            <m:t>/</m:t>
          </m:r>
          <m:r>
            <m:rPr>
              <m:sty m:val="p"/>
            </m:rPr>
            <m:t>(</m:t>
          </m:r>
          <m:r>
            <m:t>1</m:t>
          </m:r>
          <m:r>
            <m:rPr>
              <m:sty m:val="p"/>
            </m:rPr>
            <m:t>−</m:t>
          </m:r>
          <m:r>
            <m:t>q</m:t>
          </m:r>
          <m:r>
            <m:rPr>
              <m:sty m:val="p"/>
            </m:rPr>
            <m:t>)</m:t>
          </m:r>
        </m:oMath>
      </m:oMathPara>
    </w:p>
    <w:p>
      <w:pPr>
        <w:pStyle w:val="FirstParagraph"/>
      </w:pPr>
      <m:oMathPara>
        <m:oMathParaPr>
          <m:jc m:val="center"/>
        </m:oMathParaPr>
        <m:oMath>
          <m:sSubSup>
            <m:e>
              <m:r>
                <m:t>τ</m:t>
              </m:r>
            </m:e>
            <m:sub>
              <m:r>
                <m:t>i</m:t>
              </m:r>
              <m:r>
                <m:t>j</m:t>
              </m:r>
            </m:sub>
            <m:sup>
              <m:r>
                <m:t>U</m:t>
              </m:r>
            </m:sup>
          </m:sSubSup>
          <m:r>
            <m:rPr>
              <m:sty m:val="p"/>
            </m:rPr>
            <m:t>=</m:t>
          </m:r>
          <m:limLow>
            <m:e>
              <m:r>
                <m:rPr>
                  <m:sty m:val="p"/>
                </m:rPr>
                <m:t>lim</m:t>
              </m:r>
            </m:e>
            <m:lim>
              <m:r>
                <m:t>q</m:t>
              </m:r>
              <m:r>
                <m:rPr>
                  <m:sty m:val="p"/>
                </m:rPr>
                <m:t>→</m:t>
              </m:r>
              <m:sSup>
                <m:e>
                  <m:r>
                    <m:t>1</m:t>
                  </m:r>
                </m:e>
                <m:sup>
                  <m:r>
                    <m:rPr>
                      <m:sty m:val="p"/>
                    </m:rPr>
                    <m:t>−</m:t>
                  </m:r>
                </m:sup>
              </m:sSup>
            </m:lim>
          </m:limLow>
          <m:r>
            <m:t>P</m:t>
          </m:r>
          <m:r>
            <m:rPr>
              <m:sty m:val="p"/>
            </m:rPr>
            <m:t>[</m:t>
          </m:r>
          <m:sSub>
            <m:e>
              <m:r>
                <m:t>X</m:t>
              </m:r>
            </m:e>
            <m:sub>
              <m:r>
                <m:t>i</m:t>
              </m:r>
            </m:sub>
          </m:sSub>
          <m:r>
            <m:rPr>
              <m:sty m:val="p"/>
            </m:rPr>
            <m:t>&gt;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&gt;</m:t>
          </m:r>
          <m:sSubSup>
            <m:e>
              <m:r>
                <m:t>G</m:t>
              </m:r>
            </m:e>
            <m:sub>
              <m:r>
                <m:t>j</m:t>
              </m:r>
            </m:sub>
            <m:sup>
              <m:r>
                <m:rPr>
                  <m:sty m:val="p"/>
                </m:rPr>
                <m:t>−</m:t>
              </m:r>
              <m:r>
                <m:t>1</m:t>
              </m:r>
            </m:sup>
          </m:sSubSup>
          <m:r>
            <m:rPr>
              <m:sty m:val="p"/>
            </m:rPr>
            <m:t>(</m:t>
          </m:r>
          <m:r>
            <m:t>q</m:t>
          </m:r>
          <m:r>
            <m:rPr>
              <m:sty m:val="p"/>
            </m:rPr>
            <m:t>)</m:t>
          </m:r>
          <m:r>
            <m:rPr>
              <m:sty m:val="p"/>
            </m:rPr>
            <m:t>]</m:t>
          </m:r>
          <m:r>
            <m:rPr>
              <m:sty m:val="p"/>
            </m:rPr>
            <m:t>/</m:t>
          </m:r>
          <m:r>
            <m:t>q</m:t>
          </m:r>
        </m:oMath>
      </m:oMathPara>
    </w:p>
    <w:p>
      <w:pPr>
        <w:pStyle w:val="FirstParagraph"/>
      </w:pPr>
      <w:r>
        <w:t xml:space="preserve">By computing these tail‑dependence coefficients, one can directly compare how different copulas treat extreme co‑movements. The contrast is stark: while a Gaussian copula predicts virtually no joint tail events, for example Cauchy (Student-T with zero degrees of freedom) assigns a non‑negligible probability to simultaneous extreme losses. See</w:t>
      </w:r>
      <w:r>
        <w:t xml:space="preserve"> </w:t>
      </w:r>
      <w:hyperlink w:anchor="copula-examples">
        <w:r>
          <w:rPr>
            <w:rStyle w:val="Hyperlink"/>
          </w:rPr>
          <w:t xml:space="preserve">Appendix A</w:t>
        </w:r>
      </w:hyperlink>
      <w:r>
        <w:t xml:space="preserve"> </w:t>
      </w:r>
      <w:r>
        <w:t xml:space="preserve">for the visual comparison between two copulas both reflecting equivalent correlation values. This disparity translates into markedly different VaR and ES estimates, especially at the highest percentiles. Consequently, when modelling portfolio risk that is sensitive to rare but severe events, choosing a copula with appropriate tail dependence is essential. Otherwise, VaR and ES risk measures may be substantially understated.</w:t>
      </w:r>
    </w:p>
    <w:p>
      <w:pPr>
        <w:pStyle w:val="TextBody"/>
      </w:pPr>
      <w:r>
        <w:t xml:space="preserve">Figures below compare historically observed tail dependence (the orange line) with the one of Gaussian and Cauchy copulas i.e. Student-T with zero degrees of freedom (the blue and green lines respectively). The vertical axis measures tail dependence, while the horizontal axis displays the chosen percentile. As the graphs reveal, the discrepancy between the observed and Gaussian tail dependence expands significantly.</w:t>
      </w:r>
    </w:p>
    <w:p>
      <w:pPr>
        <w:pStyle w:val="CaptionedFigure"/>
      </w:pPr>
      <w:r>
        <w:drawing>
          <wp:inline>
            <wp:extent cx="5359400" cy="2166565"/>
            <wp:effectExtent b="0" l="0" r="0" t="0"/>
            <wp:docPr descr="Figure 1: Tail dependence for different types of copulas and different number of random variables" title="" id="37" name="Picture"/>
            <a:graphic>
              <a:graphicData uri="http://schemas.openxmlformats.org/drawingml/2006/picture">
                <pic:pic>
                  <pic:nvPicPr>
                    <pic:cNvPr descr="figures\Tail_dependance.png" id="38" name="Picture"/>
                    <pic:cNvPicPr>
                      <a:picLocks noChangeArrowheads="1" noChangeAspect="1"/>
                    </pic:cNvPicPr>
                  </pic:nvPicPr>
                  <pic:blipFill>
                    <a:blip r:embed="rId36"/>
                    <a:stretch>
                      <a:fillRect/>
                    </a:stretch>
                  </pic:blipFill>
                  <pic:spPr bwMode="auto">
                    <a:xfrm>
                      <a:off x="0" y="0"/>
                      <a:ext cx="5359400" cy="2166565"/>
                    </a:xfrm>
                    <a:prstGeom prst="rect">
                      <a:avLst/>
                    </a:prstGeom>
                    <a:noFill/>
                    <a:ln w="9525">
                      <a:noFill/>
                      <a:headEnd/>
                      <a:tailEnd/>
                    </a:ln>
                  </pic:spPr>
                </pic:pic>
              </a:graphicData>
            </a:graphic>
          </wp:inline>
        </w:drawing>
      </w:r>
    </w:p>
    <w:p>
      <w:pPr>
        <w:pStyle w:val="ImageCaption"/>
      </w:pPr>
      <w:r>
        <w:t xml:space="preserve">Figure 1: Tail dependence for different types of copulas and different number of random variables</w:t>
      </w:r>
    </w:p>
    <w:p>
      <w:pPr>
        <w:pStyle w:val="TextBody"/>
      </w:pPr>
      <w:r>
        <w:t xml:space="preserve">The Cauchy copula (equivalently a Student‑t copula with zero degrees of freedom) is a statistical technique for capturing dependence structures, especially when modelling tail‑risk or extreme events. Its principal advantage lies in preserving the overall correlation matrix of the underlying variables while simultaneously enabling the generation of scenarios that exhibit much heavier tails (joint‑movement) and de-correlation. In practice, this means that the copula retains the familiar linear dependence captured by pearson‑type correlations, yet it can produce joint realizations that reflect the heightened co‑movement observed during rare, high‑impact shocks.</w:t>
      </w:r>
    </w:p>
    <w:p>
      <w:pPr>
        <w:pStyle w:val="TextBody"/>
      </w:pPr>
      <w:r>
        <w:t xml:space="preserve">De‑correlation scenarios describe circumstances in which variables that normally exhibit a strong positive (or negative) relationship suddenly lose that linkage when stress or extreme events materializes. In other words, the usual together‑ness of the data breaks down. A classic illustration comes from equity markets: two stocks that historically track each other e.g. because they belong to the same industry, may abruptly move in opposite directions during a stress event. For example, Apple vs. Microsoft - Apple taking over Microsoft business after Microsoft collapses.</w:t>
      </w:r>
    </w:p>
    <w:p>
      <w:pPr>
        <w:pStyle w:val="TextBody"/>
      </w:pPr>
      <w:r>
        <w:t xml:space="preserve">On the other hand, joint‑movement scenarios involve a set of variables that, despite exhibiting only modest or even negligible correlation under normal conditions, all swing in the same direction because they are all exposed to a shared extreme driver. Think of a severe natural disaster that simultaneously spikes commodity prices or a sovereign default that forces both sovereign bond yields and the domestic currency to deteriorate together. In these cases the common shock creates a temporary, high‑intensity dependence that standard correlation estimates fail to capture.</w:t>
      </w:r>
    </w:p>
    <w:p>
      <w:pPr>
        <w:pStyle w:val="TextBody"/>
      </w:pPr>
      <w:r>
        <w:t xml:space="preserve">Both types of scenarios are crucial for robust risk assessment. De‑correlation highlights the risk of assets that are supposed to hedge each other stop doing so, while joint‑movement emphasizes the danger of hidden tail‑dependence that can generate simultaneous losses across seemingly unrelated positions. Modelling frameworks that can generate both behaviors, provide a more realistic picture of potential extreme outcomes than approaches that rely solely on historic linear correlations.</w:t>
      </w:r>
    </w:p>
    <w:bookmarkEnd w:id="39"/>
    <w:bookmarkEnd w:id="40"/>
    <w:bookmarkStart w:id="41" w:name="literature-review"/>
    <w:p>
      <w:pPr>
        <w:pStyle w:val="Heading2"/>
      </w:pPr>
      <w:r>
        <w:t xml:space="preserve">Literature review</w:t>
      </w:r>
    </w:p>
    <w:p>
      <w:pPr>
        <w:pStyle w:val="FirstParagraph"/>
      </w:pPr>
      <w:r>
        <w:t xml:space="preserve">[TODO: present articles!!!]</w:t>
      </w:r>
    </w:p>
    <w:bookmarkEnd w:id="41"/>
    <w:bookmarkEnd w:id="42"/>
    <w:bookmarkStart w:id="48" w:name="methodology-and-methods"/>
    <w:p>
      <w:pPr>
        <w:pStyle w:val="Heading1"/>
      </w:pPr>
      <w:r>
        <w:t xml:space="preserve">Methodology and methods</w:t>
      </w:r>
    </w:p>
    <w:p>
      <w:pPr>
        <w:pStyle w:val="FirstParagraph"/>
      </w:pPr>
      <w:r>
        <w:t xml:space="preserve">This analysis prioritizes the generation of extreme market scenarios designed specifically for Market Risk and capital estimation purposes. Unlike studies where the intricacies of underlying asset path dynamics (such as time-dependent volatility or complex stochastic processes) are critical, this work deliberately abstracts from such details. As such there is no need to include dynamically changing portfolios (i.e. dynamic trading strategies), limiting portfolio dimension optimization to static. (only portfolios of approx. 500 names all long and 500 long/short hedged portfolios will used in this study).</w:t>
      </w:r>
    </w:p>
    <w:p>
      <w:pPr>
        <w:pStyle w:val="TextBody"/>
      </w:pPr>
      <w:r>
        <w:t xml:space="preserve">A defining challenge in Market Risk is the need to evaluate the collective behavior of thousands of risk factors simultaneously, a requirement that far exceeds the scope of prior research, where simulations often focused on merely dozens of variables. This study bridges that gap by demonstrating scalability to hundreds or even thousands of risk factors, aligning with the real-world demands of large-scale risk aggregation.</w:t>
      </w:r>
    </w:p>
    <w:p>
      <w:pPr>
        <w:pStyle w:val="TextBody"/>
      </w:pPr>
      <w:r>
        <w:t xml:space="preserve">Figure below presents overall workflow of the project aiming at calibrating copula to historical timeseries.</w:t>
      </w:r>
      <w:r>
        <w:t xml:space="preserve"> </w:t>
      </w:r>
      <w:r>
        <w:drawing>
          <wp:inline>
            <wp:extent cx="5359400" cy="2166565"/>
            <wp:effectExtent b="0" l="0" r="0" t="0"/>
            <wp:docPr descr="Figure 2: Copula calibration workflow" title="" id="44" name="Picture"/>
            <a:graphic>
              <a:graphicData uri="http://schemas.openxmlformats.org/drawingml/2006/picture">
                <pic:pic>
                  <pic:nvPicPr>
                    <pic:cNvPr descr="figures\Project-workflow-high.png" id="45" name="Picture"/>
                    <pic:cNvPicPr>
                      <a:picLocks noChangeArrowheads="1" noChangeAspect="1"/>
                    </pic:cNvPicPr>
                  </pic:nvPicPr>
                  <pic:blipFill>
                    <a:blip r:embed="rId43"/>
                    <a:stretch>
                      <a:fillRect/>
                    </a:stretch>
                  </pic:blipFill>
                  <pic:spPr bwMode="auto">
                    <a:xfrm>
                      <a:off x="0" y="0"/>
                      <a:ext cx="5359400" cy="2166565"/>
                    </a:xfrm>
                    <a:prstGeom prst="rect">
                      <a:avLst/>
                    </a:prstGeom>
                    <a:noFill/>
                    <a:ln w="9525">
                      <a:noFill/>
                      <a:headEnd/>
                      <a:tailEnd/>
                    </a:ln>
                  </pic:spPr>
                </pic:pic>
              </a:graphicData>
            </a:graphic>
          </wp:inline>
        </w:drawing>
      </w:r>
    </w:p>
    <w:p>
      <w:pPr>
        <w:pStyle w:val="TextBody"/>
      </w:pPr>
      <w:r>
        <w:t xml:space="preserve">It is further detailed in the next figure, which illustrated cumulative process of constructing different time series based on the observed history and representing required data transformations.</w:t>
      </w:r>
      <w:r>
        <w:t xml:space="preserve"> </w:t>
      </w:r>
      <w:r>
        <w:drawing>
          <wp:inline>
            <wp:extent cx="5359400" cy="2166565"/>
            <wp:effectExtent b="0" l="0" r="0" t="0"/>
            <wp:docPr descr="Figure 3: Detailed process of data transformations for copula calibration" title="" id="46" name="Picture"/>
            <a:graphic>
              <a:graphicData uri="http://schemas.openxmlformats.org/drawingml/2006/picture">
                <pic:pic>
                  <pic:nvPicPr>
                    <pic:cNvPr descr="figures\Project-workflow-high.png" id="47" name="Picture"/>
                    <pic:cNvPicPr>
                      <a:picLocks noChangeArrowheads="1" noChangeAspect="1"/>
                    </pic:cNvPicPr>
                  </pic:nvPicPr>
                  <pic:blipFill>
                    <a:blip r:embed="rId43"/>
                    <a:stretch>
                      <a:fillRect/>
                    </a:stretch>
                  </pic:blipFill>
                  <pic:spPr bwMode="auto">
                    <a:xfrm>
                      <a:off x="0" y="0"/>
                      <a:ext cx="5359400" cy="2166565"/>
                    </a:xfrm>
                    <a:prstGeom prst="rect">
                      <a:avLst/>
                    </a:prstGeom>
                    <a:noFill/>
                    <a:ln w="9525">
                      <a:noFill/>
                      <a:headEnd/>
                      <a:tailEnd/>
                    </a:ln>
                  </pic:spPr>
                </pic:pic>
              </a:graphicData>
            </a:graphic>
          </wp:inline>
        </w:drawing>
      </w:r>
    </w:p>
    <w:p>
      <w:pPr>
        <w:pStyle w:val="TextBody"/>
      </w:pPr>
      <w:r>
        <w:t xml:space="preserve">Beyond scalability, another key advantage lies in the interpretability of results. While alternative approaches, such as Tail-GAN-based simulations, often produce outputs that are difficult to dissect or explain, the methodology employed here offers an inherent structure for understanding extreme scenarios. The framework decomposes market dynamics into a weighted combination of copulas, each with a clear and intuitive economic or statistical meaning. This not only enhances transparency but also provides with a more actionable foundation for stress testing and capital planning. The ability to attribute risk contributions to specific copula components is a significant improvement in practical applicability and model governance.</w:t>
      </w:r>
    </w:p>
    <w:p>
      <w:pPr>
        <w:pStyle w:val="TextBody"/>
      </w:pPr>
      <w:r>
        <w:rPr>
          <w:i/>
          <w:iCs/>
        </w:rPr>
        <w:t xml:space="preserve">provide a diagram that illustrate your approach/data pipeline</w:t>
      </w:r>
      <w:r>
        <w:t xml:space="preserve"> </w:t>
      </w:r>
      <w:r>
        <w:rPr>
          <w:i/>
          <w:iCs/>
        </w:rPr>
        <w:t xml:space="preserve">for each objective you can provide methodology, methods and tools that you will use, and organise this part accordingly</w:t>
      </w:r>
      <w:r>
        <w:t xml:space="preserve"> </w:t>
      </w:r>
      <w:r>
        <w:rPr>
          <w:i/>
          <w:iCs/>
        </w:rPr>
        <w:t xml:space="preserve">difference between an evaluation with respect to how your software performs, versus a critical evaluation where you reflect on your aims and objectives</w:t>
      </w:r>
      <w:r>
        <w:t xml:space="preserve"> </w:t>
      </w:r>
      <w:r>
        <w:rPr>
          <w:i/>
          <w:iCs/>
        </w:rPr>
        <w:t xml:space="preserve">how do you plan to implement it? E.g. if you are using machine learning, you will require a model (explain the structure of the neural network)</w:t>
      </w:r>
    </w:p>
    <w:p>
      <w:pPr>
        <w:pStyle w:val="TextBody"/>
      </w:pPr>
      <w:r>
        <w:t xml:space="preserve">The software end-product</w:t>
      </w:r>
      <w:r>
        <w:t xml:space="preserve"> </w:t>
      </w:r>
      <w:r>
        <w:t xml:space="preserve">My aim with this software is a proof of concept rather than an end-user application.</w:t>
      </w:r>
    </w:p>
    <w:bookmarkEnd w:id="48"/>
    <w:bookmarkStart w:id="49" w:name="project-development-plan"/>
    <w:p>
      <w:pPr>
        <w:pStyle w:val="Heading1"/>
      </w:pPr>
      <w:r>
        <w:t xml:space="preserve">Project development plan</w:t>
      </w:r>
    </w:p>
    <w:p>
      <w:pPr>
        <w:pStyle w:val="FirstParagraph"/>
      </w:pPr>
      <w:r>
        <w:t xml:space="preserve">The work is expected to start in the begging of May 2026. Development and research phase is expected to be finalized within 3 months leaving additional time for the report preparation.</w:t>
      </w:r>
    </w:p>
    <w:p>
      <w:pPr>
        <w:pStyle w:val="Compact"/>
        <w:numPr>
          <w:ilvl w:val="0"/>
          <w:numId w:val="1003"/>
        </w:numPr>
      </w:pPr>
      <w:r>
        <w:rPr>
          <w:b/>
          <w:bCs/>
        </w:rPr>
        <w:t xml:space="preserve">Step 1 [week 1-2]:</w:t>
      </w:r>
      <w:r>
        <w:t xml:space="preserve"> </w:t>
      </w:r>
      <w:r>
        <w:t xml:space="preserve">Develop functionality able to discover required market data and casche it from Yahoo API according the required population, length and granularity.</w:t>
      </w:r>
    </w:p>
    <w:p>
      <w:pPr>
        <w:pStyle w:val="Compact"/>
        <w:numPr>
          <w:ilvl w:val="0"/>
          <w:numId w:val="1003"/>
        </w:numPr>
      </w:pPr>
      <w:r>
        <w:rPr>
          <w:b/>
          <w:bCs/>
        </w:rPr>
        <w:t xml:space="preserve">Step 2 [week 3-4]:</w:t>
      </w:r>
      <w:r>
        <w:t xml:space="preserve"> </w:t>
      </w:r>
      <w:r>
        <w:t xml:space="preserve">Develop functionality able to calculate different Value-at-Risk metrics based on specified methodology i.e. Historical VaR, Monte-Carlo VaR. The latter should be structured in a way that copula class is provided as an input, allowing calculations with different copula hypothesis.</w:t>
      </w:r>
    </w:p>
    <w:p>
      <w:pPr>
        <w:pStyle w:val="Compact"/>
        <w:numPr>
          <w:ilvl w:val="0"/>
          <w:numId w:val="1003"/>
        </w:numPr>
      </w:pPr>
      <w:r>
        <w:rPr>
          <w:b/>
          <w:bCs/>
        </w:rPr>
        <w:t xml:space="preserve">Step 3 [week 5-6]:</w:t>
      </w:r>
      <w:r>
        <w:t xml:space="preserve"> </w:t>
      </w:r>
      <w:r>
        <w:t xml:space="preserve">Perform initial experiments to gauge copula impact on selected measures across different portfolios. This should help to develop better understanding required for the future interpretation of the results and testing. Assessing Gaussian, Cauchy, their transformations and weighted combinations.</w:t>
      </w:r>
    </w:p>
    <w:p>
      <w:pPr>
        <w:pStyle w:val="Compact"/>
        <w:numPr>
          <w:ilvl w:val="0"/>
          <w:numId w:val="1003"/>
        </w:numPr>
      </w:pPr>
      <w:r>
        <w:rPr>
          <w:b/>
          <w:bCs/>
        </w:rPr>
        <w:t xml:space="preserve">Step 4 [week 7-8]:</w:t>
      </w:r>
      <w:r>
        <w:t xml:space="preserve"> </w:t>
      </w:r>
      <w:r>
        <w:t xml:space="preserve">Build optimization functionality select parameters for the copula matching current measures for the list of selected portfolios. Once the best matching parameters are available attempt on learning them from the observations directly with deep neral net (MLP).</w:t>
      </w:r>
      <w:r>
        <w:br/>
      </w:r>
    </w:p>
    <w:p>
      <w:pPr>
        <w:pStyle w:val="Compact"/>
        <w:numPr>
          <w:ilvl w:val="0"/>
          <w:numId w:val="1003"/>
        </w:numPr>
      </w:pPr>
      <w:r>
        <w:rPr>
          <w:b/>
          <w:bCs/>
        </w:rPr>
        <w:t xml:space="preserve">Step 5 [week 9-10]:</w:t>
      </w:r>
      <w:r>
        <w:t xml:space="preserve"> </w:t>
      </w:r>
      <w:r>
        <w:t xml:space="preserve">Design a testing exercise to ensure the calibrated copulas adhere to the specified conditions. Test whether MLP neral net was able to learn specific copula parameters directly from the data.</w:t>
      </w:r>
    </w:p>
    <w:p>
      <w:pPr>
        <w:pStyle w:val="Compact"/>
        <w:numPr>
          <w:ilvl w:val="0"/>
          <w:numId w:val="1003"/>
        </w:numPr>
      </w:pPr>
      <w:r>
        <w:rPr>
          <w:b/>
          <w:bCs/>
        </w:rPr>
        <w:t xml:space="preserve">Step 6 [week 11 +]:</w:t>
      </w:r>
      <w:r>
        <w:t xml:space="preserve"> </w:t>
      </w:r>
      <w:r>
        <w:t xml:space="preserve">Assess obtained results, summarize observations and developed software within the report.</w:t>
      </w:r>
    </w:p>
    <w:bookmarkEnd w:id="49"/>
    <w:bookmarkStart w:id="55" w:name="references"/>
    <w:p>
      <w:pPr>
        <w:pStyle w:val="Heading1"/>
      </w:pPr>
      <w:r>
        <w:t xml:space="preserve">References</w:t>
      </w:r>
    </w:p>
    <w:p>
      <w:pPr>
        <w:numPr>
          <w:ilvl w:val="0"/>
          <w:numId w:val="1004"/>
        </w:numPr>
      </w:pPr>
      <w:r>
        <w:t xml:space="preserve">Jorion P., 2006. Value as Risk: The New Benchmark for Managing Financial Risk. New York: The McGraw-Hill.</w:t>
      </w:r>
    </w:p>
    <w:p>
      <w:pPr>
        <w:numPr>
          <w:ilvl w:val="0"/>
          <w:numId w:val="1004"/>
        </w:numPr>
      </w:pPr>
      <w:r>
        <w:t xml:space="preserve">Cherubini U. et al, 2004. Copula methods in finance. England: Wiley finance.</w:t>
      </w:r>
    </w:p>
    <w:p>
      <w:pPr>
        <w:numPr>
          <w:ilvl w:val="0"/>
          <w:numId w:val="1004"/>
        </w:numPr>
      </w:pPr>
      <w:r>
        <w:t xml:space="preserve">Chollet F., 2021. Deep learning with Python. New York: Manning Publications Co. </w:t>
      </w:r>
    </w:p>
    <w:p>
      <w:pPr>
        <w:numPr>
          <w:ilvl w:val="0"/>
          <w:numId w:val="1004"/>
        </w:numPr>
      </w:pPr>
      <w:r>
        <w:t xml:space="preserve">Acerbi C., Szekely B., 2014. Back-testing expected shortfall. Risk, 27(11):76–81.</w:t>
      </w:r>
    </w:p>
    <w:p>
      <w:pPr>
        <w:numPr>
          <w:ilvl w:val="0"/>
          <w:numId w:val="1004"/>
        </w:numPr>
      </w:pPr>
      <w:r>
        <w:t xml:space="preserve">Cont R. et al, 2022. Tail-GAN: Nonparametric scenario generation for tail risk estimation.</w:t>
      </w:r>
      <w:r>
        <w:t xml:space="preserve"> </w:t>
      </w:r>
      <w:hyperlink r:id="rId50">
        <w:r>
          <w:rPr>
            <w:rStyle w:val="Hyperlink"/>
          </w:rPr>
          <w:t xml:space="preserve">(link)</w:t>
        </w:r>
      </w:hyperlink>
    </w:p>
    <w:p>
      <w:pPr>
        <w:numPr>
          <w:ilvl w:val="0"/>
          <w:numId w:val="1004"/>
        </w:numPr>
      </w:pPr>
      <w:r>
        <w:t xml:space="preserve">Oh D., Patton A., 2015. Modelling dependance in High dimensions with factor copulas.</w:t>
      </w:r>
      <w:r>
        <w:t xml:space="preserve"> </w:t>
      </w:r>
      <w:hyperlink r:id="rId51">
        <w:r>
          <w:rPr>
            <w:rStyle w:val="Hyperlink"/>
          </w:rPr>
          <w:t xml:space="preserve">(link)</w:t>
        </w:r>
      </w:hyperlink>
    </w:p>
    <w:p>
      <w:pPr>
        <w:numPr>
          <w:ilvl w:val="0"/>
          <w:numId w:val="1004"/>
        </w:numPr>
      </w:pPr>
      <w:r>
        <w:t xml:space="preserve">Buhler H., Horvath B., 2021. A data-driven market simulator for small data environments.</w:t>
      </w:r>
      <w:r>
        <w:t xml:space="preserve"> </w:t>
      </w:r>
      <w:hyperlink r:id="rId52">
        <w:r>
          <w:rPr>
            <w:rStyle w:val="Hyperlink"/>
          </w:rPr>
          <w:t xml:space="preserve">(link)</w:t>
        </w:r>
      </w:hyperlink>
    </w:p>
    <w:p>
      <w:pPr>
        <w:numPr>
          <w:ilvl w:val="0"/>
          <w:numId w:val="1004"/>
        </w:numPr>
      </w:pPr>
      <w:r>
        <w:t xml:space="preserve">Horvath B. et al, 2025. Generative Models in Finance: Market Generators, a Paradigm Shift in Financial Modeling.</w:t>
      </w:r>
      <w:hyperlink r:id="rId53">
        <w:r>
          <w:rPr>
            <w:rStyle w:val="Hyperlink"/>
          </w:rPr>
          <w:t xml:space="preserve">(link)</w:t>
        </w:r>
      </w:hyperlink>
    </w:p>
    <w:p>
      <w:pPr>
        <w:numPr>
          <w:ilvl w:val="0"/>
          <w:numId w:val="1004"/>
        </w:numPr>
      </w:pPr>
      <w:r>
        <w:t xml:space="preserve">Hofert M. and Pang Z., 2025. W-transforms: Uniformity-preserving transformations and induced dependence structures.</w:t>
      </w:r>
      <w:hyperlink r:id="rId54">
        <w:r>
          <w:rPr>
            <w:rStyle w:val="Hyperlink"/>
          </w:rPr>
          <w:t xml:space="preserve">(link)</w:t>
        </w:r>
      </w:hyperlink>
    </w:p>
    <w:bookmarkEnd w:id="55"/>
    <w:bookmarkStart w:id="70" w:name="appendixes"/>
    <w:p>
      <w:pPr>
        <w:pStyle w:val="Heading1"/>
      </w:pPr>
      <w:r>
        <w:t xml:space="preserve">Appendixes</w:t>
      </w:r>
    </w:p>
    <w:p>
      <w:pPr>
        <w:pStyle w:val="FirstParagraph"/>
      </w:pPr>
      <w:r>
        <w:t xml:space="preserve">See corresponding equation</w:t>
      </w:r>
      <w:r>
        <w:t xml:space="preserve"> </w:t>
      </w:r>
      <w:hyperlink w:anchor="eq1">
        <w:r>
          <w:rPr>
            <w:rStyle w:val="Hyperlink"/>
          </w:rPr>
          <w:t xml:space="preserve">(Eq.1)</w:t>
        </w:r>
      </w:hyperlink>
    </w:p>
    <w:bookmarkStart w:id="68" w:name="appendix-a-copula-examples"/>
    <w:p>
      <w:pPr>
        <w:pStyle w:val="Heading2"/>
      </w:pPr>
      <w:r>
        <w:t xml:space="preserve">Appendix A: Copula examples</w:t>
      </w:r>
    </w:p>
    <w:p>
      <w:pPr>
        <w:pStyle w:val="FirstParagraph"/>
      </w:pPr>
      <w:r>
        <w:t xml:space="preserve">Gaussian copula.</w:t>
      </w:r>
    </w:p>
    <w:p>
      <w:pPr>
        <w:pStyle w:val="CaptionedFigure"/>
      </w:pPr>
      <w:r>
        <w:drawing>
          <wp:inline>
            <wp:extent cx="5359400" cy="4019549"/>
            <wp:effectExtent b="0" l="0" r="0" t="0"/>
            <wp:docPr descr="Figure 1: Uniform scenarios Gaussian_copula, numerical simulation" title="" id="57" name="Picture"/>
            <a:graphic>
              <a:graphicData uri="http://schemas.openxmlformats.org/drawingml/2006/picture">
                <pic:pic>
                  <pic:nvPicPr>
                    <pic:cNvPr descr="figures\Uniform_scenarios_Gaussian_copula_(numerical_simulation).png" id="58" name="Picture"/>
                    <pic:cNvPicPr>
                      <a:picLocks noChangeArrowheads="1" noChangeAspect="1"/>
                    </pic:cNvPicPr>
                  </pic:nvPicPr>
                  <pic:blipFill>
                    <a:blip r:embed="rId56"/>
                    <a:stretch>
                      <a:fillRect/>
                    </a:stretch>
                  </pic:blipFill>
                  <pic:spPr bwMode="auto">
                    <a:xfrm>
                      <a:off x="0" y="0"/>
                      <a:ext cx="5359400" cy="4019549"/>
                    </a:xfrm>
                    <a:prstGeom prst="rect">
                      <a:avLst/>
                    </a:prstGeom>
                    <a:noFill/>
                    <a:ln w="9525">
                      <a:noFill/>
                      <a:headEnd/>
                      <a:tailEnd/>
                    </a:ln>
                  </pic:spPr>
                </pic:pic>
              </a:graphicData>
            </a:graphic>
          </wp:inline>
        </w:drawing>
      </w:r>
    </w:p>
    <w:p>
      <w:pPr>
        <w:pStyle w:val="ImageCaption"/>
      </w:pPr>
      <w:r>
        <w:t xml:space="preserve">Figure 1: Uniform scenarios Gaussian_copula, numerical simulation</w:t>
      </w:r>
    </w:p>
    <w:p>
      <w:pPr>
        <w:pStyle w:val="CaptionedFigure"/>
      </w:pPr>
      <w:r>
        <w:drawing>
          <wp:inline>
            <wp:extent cx="5359400" cy="4019549"/>
            <wp:effectExtent b="0" l="0" r="0" t="0"/>
            <wp:docPr descr="Figure 2: Contour plot Gaussian copula, numerical simulation" title="" id="60" name="Picture"/>
            <a:graphic>
              <a:graphicData uri="http://schemas.openxmlformats.org/drawingml/2006/picture">
                <pic:pic>
                  <pic:nvPicPr>
                    <pic:cNvPr descr="figures\Contour_plot_Gaussian_copula_(numerical_simulation).png" id="61" name="Picture"/>
                    <pic:cNvPicPr>
                      <a:picLocks noChangeArrowheads="1" noChangeAspect="1"/>
                    </pic:cNvPicPr>
                  </pic:nvPicPr>
                  <pic:blipFill>
                    <a:blip r:embed="rId59"/>
                    <a:stretch>
                      <a:fillRect/>
                    </a:stretch>
                  </pic:blipFill>
                  <pic:spPr bwMode="auto">
                    <a:xfrm>
                      <a:off x="0" y="0"/>
                      <a:ext cx="5359400" cy="4019549"/>
                    </a:xfrm>
                    <a:prstGeom prst="rect">
                      <a:avLst/>
                    </a:prstGeom>
                    <a:noFill/>
                    <a:ln w="9525">
                      <a:noFill/>
                      <a:headEnd/>
                      <a:tailEnd/>
                    </a:ln>
                  </pic:spPr>
                </pic:pic>
              </a:graphicData>
            </a:graphic>
          </wp:inline>
        </w:drawing>
      </w:r>
    </w:p>
    <w:p>
      <w:pPr>
        <w:pStyle w:val="ImageCaption"/>
      </w:pPr>
      <w:r>
        <w:t xml:space="preserve">Figure 2: Contour plot Gaussian copula, numerical simulation</w:t>
      </w:r>
    </w:p>
    <w:p>
      <w:pPr>
        <w:pStyle w:val="TextBody"/>
      </w:pPr>
      <w:r>
        <w:t xml:space="preserve">Cauchy copula.</w:t>
      </w:r>
    </w:p>
    <w:p>
      <w:pPr>
        <w:pStyle w:val="CaptionedFigure"/>
      </w:pPr>
      <w:r>
        <w:drawing>
          <wp:inline>
            <wp:extent cx="5359400" cy="4019549"/>
            <wp:effectExtent b="0" l="0" r="0" t="0"/>
            <wp:docPr descr="Figure 3: Uniform scenarios Cauchy copula, numerical simulation" title="" id="63" name="Picture"/>
            <a:graphic>
              <a:graphicData uri="http://schemas.openxmlformats.org/drawingml/2006/picture">
                <pic:pic>
                  <pic:nvPicPr>
                    <pic:cNvPr descr="figures\Uniform_scenarios_Cauchy_copula_(numerical_simulation).png" id="64" name="Picture"/>
                    <pic:cNvPicPr>
                      <a:picLocks noChangeArrowheads="1" noChangeAspect="1"/>
                    </pic:cNvPicPr>
                  </pic:nvPicPr>
                  <pic:blipFill>
                    <a:blip r:embed="rId62"/>
                    <a:stretch>
                      <a:fillRect/>
                    </a:stretch>
                  </pic:blipFill>
                  <pic:spPr bwMode="auto">
                    <a:xfrm>
                      <a:off x="0" y="0"/>
                      <a:ext cx="5359400" cy="4019549"/>
                    </a:xfrm>
                    <a:prstGeom prst="rect">
                      <a:avLst/>
                    </a:prstGeom>
                    <a:noFill/>
                    <a:ln w="9525">
                      <a:noFill/>
                      <a:headEnd/>
                      <a:tailEnd/>
                    </a:ln>
                  </pic:spPr>
                </pic:pic>
              </a:graphicData>
            </a:graphic>
          </wp:inline>
        </w:drawing>
      </w:r>
    </w:p>
    <w:p>
      <w:pPr>
        <w:pStyle w:val="ImageCaption"/>
      </w:pPr>
      <w:r>
        <w:t xml:space="preserve">Figure 3: Uniform scenarios Cauchy copula, numerical simulation</w:t>
      </w:r>
    </w:p>
    <w:p>
      <w:pPr>
        <w:pStyle w:val="CaptionedFigure"/>
      </w:pPr>
      <w:r>
        <w:drawing>
          <wp:inline>
            <wp:extent cx="5359400" cy="4019549"/>
            <wp:effectExtent b="0" l="0" r="0" t="0"/>
            <wp:docPr descr="Figure 4: Contour plot Cauchy copula, numerical simulation" title="" id="66" name="Picture"/>
            <a:graphic>
              <a:graphicData uri="http://schemas.openxmlformats.org/drawingml/2006/picture">
                <pic:pic>
                  <pic:nvPicPr>
                    <pic:cNvPr descr="figures\Contour_plot_Cauchy_copula_(numerical_simulation).png" id="67" name="Picture"/>
                    <pic:cNvPicPr>
                      <a:picLocks noChangeArrowheads="1" noChangeAspect="1"/>
                    </pic:cNvPicPr>
                  </pic:nvPicPr>
                  <pic:blipFill>
                    <a:blip r:embed="rId65"/>
                    <a:stretch>
                      <a:fillRect/>
                    </a:stretch>
                  </pic:blipFill>
                  <pic:spPr bwMode="auto">
                    <a:xfrm>
                      <a:off x="0" y="0"/>
                      <a:ext cx="5359400" cy="4019549"/>
                    </a:xfrm>
                    <a:prstGeom prst="rect">
                      <a:avLst/>
                    </a:prstGeom>
                    <a:noFill/>
                    <a:ln w="9525">
                      <a:noFill/>
                      <a:headEnd/>
                      <a:tailEnd/>
                    </a:ln>
                  </pic:spPr>
                </pic:pic>
              </a:graphicData>
            </a:graphic>
          </wp:inline>
        </w:drawing>
      </w:r>
    </w:p>
    <w:p>
      <w:pPr>
        <w:pStyle w:val="ImageCaption"/>
      </w:pPr>
      <w:r>
        <w:t xml:space="preserve">Figure 4: Contour plot Cauchy copula, numerical simulation</w:t>
      </w:r>
    </w:p>
    <w:bookmarkEnd w:id="68"/>
    <w:bookmarkStart w:id="69" w:name="appendix-b-list-of-used-ai-tools"/>
    <w:p>
      <w:pPr>
        <w:pStyle w:val="Heading2"/>
      </w:pPr>
      <w:r>
        <w:t xml:space="preserve">Appendix B: List of used AI tools</w:t>
      </w:r>
    </w:p>
    <w:p>
      <w:pPr>
        <w:pStyle w:val="Compact"/>
        <w:numPr>
          <w:ilvl w:val="0"/>
          <w:numId w:val="1005"/>
        </w:numPr>
      </w:pPr>
      <w:r>
        <w:t xml:space="preserve">Gemini via Google Search;</w:t>
      </w:r>
    </w:p>
    <w:p>
      <w:pPr>
        <w:pStyle w:val="Compact"/>
        <w:numPr>
          <w:ilvl w:val="0"/>
          <w:numId w:val="1005"/>
        </w:numPr>
      </w:pPr>
      <w:r>
        <w:t xml:space="preserve">Mistral-7B-Instruct-v0.3 for polishing the text. Prompt:</w:t>
      </w:r>
      <w:r>
        <w:t xml:space="preserve"> </w:t>
      </w:r>
      <w:r>
        <w:rPr>
          <w:i/>
          <w:iCs/>
        </w:rPr>
        <w:t xml:space="preserve">“You’re an academic assistant with an expertise in software engineering to proofread and rewrite as a single connected text. Keep academic tone.”</w:t>
      </w:r>
    </w:p>
    <w:bookmarkEnd w:id="69"/>
    <w:bookmarkEnd w:id="70"/>
    <w:sectPr>
      <w:footerReference r:id="rId2" w:type="default"/>
      <w:type w:val="oddPage"/>
      <w:pgSz w:h="16838" w:w="11906"/>
      <w:pgMar w:bottom="1003" w:footer="720" w:gutter="0" w:header="0" w:left="1729" w:right="1729" w:top="1440"/>
      <w:pgNumType w:fmt="lowerRoman" w:start="1"/>
      <w:formProt w:val="false"/>
      <w:textDirection w:val="lrTb"/>
      <w:docGrid w:charSpace="2047" w:linePitch="24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r>
    <w:r>
      <mc:AlternateContent>
        <mc:Choice Requires="wps">
          <w:drawing>
            <wp:anchor behindDoc="0" distT="0" distB="0" distL="0" distR="0" simplePos="0" locked="0" layoutInCell="1" allowOverlap="1" relativeHeight="4">
              <wp:simplePos x="0" y="0"/>
              <wp:positionH relativeFrom="margin">
                <wp:align>center</wp:align>
              </wp:positionH>
              <wp:positionV relativeFrom="paragraph">
                <wp:posOffset>635</wp:posOffset>
              </wp:positionV>
              <wp:extent cx="99695" cy="145415"/>
              <wp:effectExtent l="0" t="0" r="0" b="0"/>
              <wp:wrapSquare wrapText="largest"/>
              <wp:docPr id="1" name="Frame2"/>
              <a:graphic xmlns:a="http://schemas.openxmlformats.org/drawingml/2006/main">
                <a:graphicData uri="http://schemas.microsoft.com/office/word/2010/wordprocessingShape">
                  <wps:wsp>
                    <wps:cNvSpPr txBox="1"/>
                    <wps:spPr>
                      <a:xfrm>
                        <a:off x="0" y="0"/>
                        <a:ext cx="99695" cy="145415"/>
                      </a:xfrm>
                      <a:prstGeom prst="rect"/>
                      <a:solidFill>
                        <a:srgbClr val="FFFFFF">
                          <a:alpha val="0"/>
                        </a:srgbClr>
                      </a:solidFill>
                    </wps:spPr>
                    <wps:txbx>
                      <w:txbxContent>
                        <w:p>
                          <w:pPr>
                            <w:pStyle w:val="Footer"/>
                            <w:pBdr/>
                            <w:rPr/>
                          </w:pPr>
                          <w:r>
                            <w:rPr>
                              <w:rStyle w:val="Pagenumber"/>
                            </w:rPr>
                            <w:fldChar w:fldCharType="begin"/>
                          </w:r>
                          <w:r>
                            <w:instrText> PAGE </w:instrText>
                          </w:r>
                          <w:r>
                            <w:fldChar w:fldCharType="separate"/>
                          </w:r>
                          <w:r>
                            <w:t>ix</w:t>
                          </w:r>
                          <w:r>
                            <w:fldChar w:fldCharType="end"/>
                          </w:r>
                        </w:p>
                      </w:txbxContent>
                    </wps:txbx>
                    <wps:bodyPr anchor="t" lIns="0" tIns="0" rIns="0" bIns="0">
                      <a:spAutoFit/>
                    </wps:bodyPr>
                  </wps:wsp>
                </a:graphicData>
              </a:graphic>
            </wp:anchor>
          </w:drawing>
        </mc:Choice>
        <mc:Fallback>
          <w:pict>
            <v:rect fillcolor="#FFFFFF" style="position:absolute;rotation:0;width:7.85pt;height:11.45pt;mso-wrap-distance-left:0pt;mso-wrap-distance-right:0pt;mso-wrap-distance-top:0pt;mso-wrap-distance-bottom:0pt;margin-top:0.05pt;mso-position-vertical-relative:text;margin-left:211.35pt;mso-position-horizontal:center;mso-position-horizontal-relative:margin">
              <v:fill opacity="0f"/>
              <v:textbox inset="0in,0in,0in,0in">
                <w:txbxContent>
                  <w:p>
                    <w:pPr>
                      <w:pStyle w:val="Footer"/>
                      <w:pBdr/>
                      <w:rPr/>
                    </w:pPr>
                    <w:r>
                      <w:rPr>
                        <w:rStyle w:val="Pagenumber"/>
                      </w:rPr>
                      <w:fldChar w:fldCharType="begin"/>
                    </w:r>
                    <w:r>
                      <w:instrText> PAGE </w:instrText>
                    </w:r>
                    <w:r>
                      <w:fldChar w:fldCharType="separate"/>
                    </w:r>
                    <w:r>
                      <w:t>ix</w:t>
                    </w:r>
                    <w: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r>
    <w:r>
      <mc:AlternateContent>
        <mc:Choice Requires="wps">
          <w:drawing>
            <wp:anchor behindDoc="0" distT="0" distB="0" distL="0" distR="0" simplePos="0" locked="0" layoutInCell="1" allowOverlap="1" relativeHeight="8">
              <wp:simplePos x="0" y="0"/>
              <wp:positionH relativeFrom="margin">
                <wp:align>center</wp:align>
              </wp:positionH>
              <wp:positionV relativeFrom="paragraph">
                <wp:posOffset>635</wp:posOffset>
              </wp:positionV>
              <wp:extent cx="64135" cy="145415"/>
              <wp:effectExtent l="0" t="0" r="0" b="0"/>
              <wp:wrapSquare wrapText="largest"/>
              <wp:docPr id="2" name="Frame3"/>
              <a:graphic xmlns:a="http://schemas.openxmlformats.org/drawingml/2006/main">
                <a:graphicData uri="http://schemas.microsoft.com/office/word/2010/wordprocessingShape">
                  <wps:wsp>
                    <wps:cNvSpPr txBox="1"/>
                    <wps:spPr>
                      <a:xfrm>
                        <a:off x="0" y="0"/>
                        <a:ext cx="64135" cy="145415"/>
                      </a:xfrm>
                      <a:prstGeom prst="rect"/>
                      <a:solidFill>
                        <a:srgbClr val="FFFFFF">
                          <a:alpha val="0"/>
                        </a:srgbClr>
                      </a:solidFill>
                    </wps:spPr>
                    <wps:txbx>
                      <w:txbxContent>
                        <w:p>
                          <w:pPr>
                            <w:pStyle w:val="Footer"/>
                            <w:pBdr/>
                            <w:rPr/>
                          </w:pPr>
                          <w:r>
                            <w:rPr>
                              <w:rStyle w:val="Pagenumber"/>
                            </w:rPr>
                            <w:fldChar w:fldCharType="begin"/>
                          </w:r>
                          <w:r>
                            <w:instrText> PAGE </w:instrText>
                          </w:r>
                          <w:r>
                            <w:fldChar w:fldCharType="separate"/>
                          </w:r>
                          <w:r>
                            <w:t>5</w:t>
                          </w:r>
                          <w:r>
                            <w:fldChar w:fldCharType="end"/>
                          </w:r>
                        </w:p>
                      </w:txbxContent>
                    </wps:txbx>
                    <wps:bodyPr anchor="t" lIns="0" tIns="0" rIns="0" bIns="0">
                      <a:spAutoFit/>
                    </wps:bodyPr>
                  </wps:wsp>
                </a:graphicData>
              </a:graphic>
            </wp:anchor>
          </w:drawing>
        </mc:Choice>
        <mc:Fallback>
          <w:pict>
            <v:rect fillcolor="#FFFFFF" style="position:absolute;rotation:0;width:5.05pt;height:11.45pt;mso-wrap-distance-left:0pt;mso-wrap-distance-right:0pt;mso-wrap-distance-top:0pt;mso-wrap-distance-bottom:0pt;margin-top:0.05pt;mso-position-vertical-relative:text;margin-left:204.5pt;mso-position-horizontal:center;mso-position-horizontal-relative:margin">
              <v:fill opacity="0f"/>
              <v:textbox inset="0in,0in,0in,0in">
                <w:txbxContent>
                  <w:p>
                    <w:pPr>
                      <w:pStyle w:val="Footer"/>
                      <w:pBdr/>
                      <w:rPr/>
                    </w:pPr>
                    <w:r>
                      <w:rPr>
                        <w:rStyle w:val="Pagenumber"/>
                      </w:rPr>
                      <w:fldChar w:fldCharType="begin"/>
                    </w:r>
                    <w:r>
                      <w:instrText> PAGE </w:instrText>
                    </w:r>
                    <w:r>
                      <w:fldChar w:fldCharType="separate"/>
                    </w:r>
                    <w:r>
                      <w:t>5</w:t>
                    </w:r>
                    <w:r>
                      <w:fldChar w:fldCharType="end"/>
                    </w:r>
                  </w:p>
                </w:txbxContent>
              </v:textbox>
              <w10:wrap type="square" side="largest"/>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spacing w:lineRule="exact" w:line="24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pStyle w:val="Heading1"/>
      <w:numFmt w:val="decimal"/>
      <w:suff w:val="nothing"/>
      <w:lvlText w:val="Chapter %1.  "/>
      <w:lvlJc w:val="left"/>
      <w:pPr>
        <w:ind w:hanging="0" w:left="3970"/>
      </w:pPr>
    </w:lvl>
    <w:lvl w:ilvl="1">
      <w:start w:val="1"/>
      <w:pStyle w:val="Heading2"/>
      <w:numFmt w:val="decimal"/>
      <w:lvlText w:val="%1.%2"/>
      <w:lvlJc w:val="left"/>
      <w:pPr>
        <w:tabs>
          <w:tab w:pos="576" w:val="num"/>
        </w:tabs>
        <w:ind w:hanging="576" w:left="576"/>
      </w:pPr>
    </w:lvl>
    <w:lvl w:ilvl="2">
      <w:start w:val="1"/>
      <w:pStyle w:val="Heading3"/>
      <w:numFmt w:val="decimal"/>
      <w:lvlText w:val="%1.%2.%3"/>
      <w:lvlJc w:val="left"/>
      <w:pPr>
        <w:tabs>
          <w:tab w:pos="720" w:val="num"/>
        </w:tabs>
        <w:ind w:hanging="720" w:left="720"/>
      </w:pPr>
    </w:lvl>
    <w:lvl w:ilvl="3">
      <w:start w:val="1"/>
      <w:pStyle w:val="Heading4"/>
      <w:numFmt w:val="decimal"/>
      <w:lvlText w:val="%1.%2.%3.%4"/>
      <w:lvlJc w:val="left"/>
      <w:pPr>
        <w:tabs>
          <w:tab w:pos="864" w:val="num"/>
        </w:tabs>
        <w:ind w:hanging="864" w:left="864"/>
      </w:pPr>
    </w:lvl>
    <w:lvl w:ilvl="4">
      <w:start w:val="1"/>
      <w:pStyle w:val="Heading5"/>
      <w:numFmt w:val="decimal"/>
      <w:lvlText w:val="%1.%2.%3.%4.%5"/>
      <w:lvlJc w:val="left"/>
      <w:pPr>
        <w:tabs>
          <w:tab w:pos="1008" w:val="num"/>
        </w:tabs>
        <w:ind w:hanging="1008" w:left="1008"/>
      </w:pPr>
    </w:lvl>
    <w:lvl w:ilvl="5">
      <w:start w:val="1"/>
      <w:pStyle w:val="Heading6"/>
      <w:numFmt w:val="upperLetter"/>
      <w:suff w:val="nothing"/>
      <w:lvlText w:val="Appendix %6. "/>
      <w:lvlJc w:val="left"/>
      <w:pPr>
        <w:ind w:hanging="0" w:left="2978"/>
      </w:pPr>
    </w:lvl>
    <w:lvl w:ilvl="6">
      <w:start w:val="1"/>
      <w:pStyle w:val="Heading7"/>
      <w:numFmt w:val="decimal"/>
      <w:suff w:val="space"/>
      <w:lvlText w:val="%6.%7"/>
      <w:lvlJc w:val="left"/>
      <w:pPr>
        <w:ind w:hanging="1440" w:left="1440"/>
      </w:pPr>
    </w:lvl>
    <w:lvl w:ilvl="7">
      <w:start w:val="1"/>
      <w:pStyle w:val="Heading8"/>
      <w:numFmt w:val="decimal"/>
      <w:lvlText w:val="%6.%7.%8 "/>
      <w:lvlJc w:val="left"/>
      <w:pPr>
        <w:tabs>
          <w:tab w:pos="90" w:val="num"/>
        </w:tabs>
        <w:ind w:hanging="1440" w:left="1530"/>
      </w:pPr>
    </w:lvl>
    <w:lvl w:ilvl="8">
      <w:start w:val="1"/>
      <w:pStyle w:val="Heading9"/>
      <w:numFmt w:val="decimal"/>
      <w:lvlText w:val="%1.%2.%3.%4.%5.%6.%7.%8.%9"/>
      <w:lvlJc w:val="left"/>
      <w:pPr>
        <w:tabs>
          <w:tab w:pos="1584" w:val="num"/>
        </w:tabs>
        <w:ind w:hanging="1584" w:left="1584"/>
      </w:pPr>
    </w:lvl>
  </w:abstractNum>
  <w:abstractNum w:abstractNumId="2">
    <w:lvl w:ilvl="0">
      <w:start w:val="1"/>
      <w:numFmt w:val="decimal"/>
      <w:suff w:val="nothing"/>
      <w:lvlText w:val="Chapter %1.  "/>
      <w:lvlJc w:val="left"/>
      <w:pPr>
        <w:ind w:hanging="0" w:left="3970"/>
      </w:pPr>
    </w:lvl>
    <w:lvl w:ilvl="1">
      <w:start w:val="1"/>
      <w:numFmt w:val="decimal"/>
      <w:lvlText w:val="%1.%2"/>
      <w:lvlJc w:val="left"/>
      <w:pPr>
        <w:tabs>
          <w:tab w:pos="576" w:val="num"/>
        </w:tabs>
        <w:ind w:hanging="576" w:left="576"/>
      </w:pPr>
    </w:lvl>
    <w:lvl w:ilvl="2">
      <w:start w:val="1"/>
      <w:numFmt w:val="decimal"/>
      <w:lvlText w:val="%1.%2.%3"/>
      <w:lvlJc w:val="left"/>
      <w:pPr>
        <w:tabs>
          <w:tab w:pos="720" w:val="num"/>
        </w:tabs>
        <w:ind w:hanging="720" w:left="720"/>
      </w:pPr>
    </w:lvl>
    <w:lvl w:ilvl="3">
      <w:start w:val="1"/>
      <w:numFmt w:val="decimal"/>
      <w:lvlText w:val="%1.%2.%3.%4"/>
      <w:lvlJc w:val="left"/>
      <w:pPr>
        <w:tabs>
          <w:tab w:pos="864" w:val="num"/>
        </w:tabs>
        <w:ind w:hanging="864" w:left="864"/>
      </w:pPr>
    </w:lvl>
    <w:lvl w:ilvl="4">
      <w:start w:val="1"/>
      <w:numFmt w:val="decimal"/>
      <w:lvlText w:val="%1.%2.%3.%4.%5"/>
      <w:lvlJc w:val="left"/>
      <w:pPr>
        <w:tabs>
          <w:tab w:pos="1008" w:val="num"/>
        </w:tabs>
        <w:ind w:hanging="1008" w:left="1008"/>
      </w:pPr>
    </w:lvl>
    <w:lvl w:ilvl="5">
      <w:start w:val="1"/>
      <w:numFmt w:val="upperLetter"/>
      <w:suff w:val="nothing"/>
      <w:lvlText w:val="Appendix %6. "/>
      <w:lvlJc w:val="left"/>
      <w:pPr>
        <w:ind w:hanging="0" w:left="2978"/>
      </w:pPr>
    </w:lvl>
    <w:lvl w:ilvl="6">
      <w:start w:val="1"/>
      <w:numFmt w:val="decimal"/>
      <w:suff w:val="space"/>
      <w:lvlText w:val="%6.%7"/>
      <w:lvlJc w:val="left"/>
      <w:pPr>
        <w:ind w:hanging="1440" w:left="1440"/>
      </w:pPr>
    </w:lvl>
    <w:lvl w:ilvl="7">
      <w:start w:val="1"/>
      <w:numFmt w:val="decimal"/>
      <w:lvlText w:val="%6.%7.%8 "/>
      <w:lvlJc w:val="left"/>
      <w:pPr>
        <w:tabs>
          <w:tab w:pos="90" w:val="num"/>
        </w:tabs>
        <w:ind w:hanging="1440" w:left="1530"/>
      </w:pPr>
    </w:lvl>
    <w:lvl w:ilvl="8">
      <w:start w:val="1"/>
      <w:numFmt w:val="decimal"/>
      <w:lvlText w:val="%1.%2.%3.%4.%5.%6.%7.%8.%9"/>
      <w:lvlJc w:val="left"/>
      <w:pPr>
        <w:tabs>
          <w:tab w:pos="1584" w:val="num"/>
        </w:tabs>
        <w:ind w:hanging="1584" w:left="1584"/>
      </w:pPr>
    </w:lvl>
  </w:abstractNum>
  <w:abstractNum w:abstractNumId="3">
    <w:lvl w:ilvl="0">
      <w:start w:val="1"/>
      <w:numFmt w:val="decimal"/>
      <w:lvlText w:val="%1."/>
      <w:lvlJc w:val="left"/>
      <w:pPr>
        <w:tabs>
          <w:tab w:pos="840" w:val="num"/>
        </w:tabs>
        <w:ind w:hanging="360" w:left="840"/>
      </w:pPr>
    </w:lvl>
    <w:lvl w:ilvl="1">
      <w:start w:val="1"/>
      <w:numFmt w:val="lowerLetter"/>
      <w:lvlText w:val="%2."/>
      <w:lvlJc w:val="left"/>
      <w:pPr>
        <w:tabs>
          <w:tab w:pos="1560" w:val="num"/>
        </w:tabs>
        <w:ind w:hanging="360" w:left="1560"/>
      </w:pPr>
    </w:lvl>
    <w:lvl w:ilvl="2">
      <w:start w:val="1"/>
      <w:numFmt w:val="lowerRoman"/>
      <w:lvlText w:val="%3."/>
      <w:lvlJc w:val="right"/>
      <w:pPr>
        <w:tabs>
          <w:tab w:pos="2280" w:val="num"/>
        </w:tabs>
        <w:ind w:hanging="180" w:left="2280"/>
      </w:pPr>
    </w:lvl>
    <w:lvl w:ilvl="3">
      <w:start w:val="1"/>
      <w:numFmt w:val="decimal"/>
      <w:lvlText w:val="%4."/>
      <w:lvlJc w:val="left"/>
      <w:pPr>
        <w:tabs>
          <w:tab w:pos="3000" w:val="num"/>
        </w:tabs>
        <w:ind w:hanging="360" w:left="3000"/>
      </w:pPr>
    </w:lvl>
    <w:lvl w:ilvl="4">
      <w:start w:val="1"/>
      <w:numFmt w:val="lowerLetter"/>
      <w:lvlText w:val="%5."/>
      <w:lvlJc w:val="left"/>
      <w:pPr>
        <w:tabs>
          <w:tab w:pos="3720" w:val="num"/>
        </w:tabs>
        <w:ind w:hanging="360" w:left="3720"/>
      </w:pPr>
    </w:lvl>
    <w:lvl w:ilvl="5">
      <w:start w:val="1"/>
      <w:numFmt w:val="lowerRoman"/>
      <w:lvlText w:val="%6."/>
      <w:lvlJc w:val="right"/>
      <w:pPr>
        <w:tabs>
          <w:tab w:pos="4440" w:val="num"/>
        </w:tabs>
        <w:ind w:hanging="180" w:left="4440"/>
      </w:pPr>
    </w:lvl>
    <w:lvl w:ilvl="6">
      <w:start w:val="1"/>
      <w:numFmt w:val="decimal"/>
      <w:lvlText w:val="%7."/>
      <w:lvlJc w:val="left"/>
      <w:pPr>
        <w:tabs>
          <w:tab w:pos="5160" w:val="num"/>
        </w:tabs>
        <w:ind w:hanging="360" w:left="5160"/>
      </w:pPr>
    </w:lvl>
    <w:lvl w:ilvl="7">
      <w:start w:val="1"/>
      <w:numFmt w:val="lowerLetter"/>
      <w:lvlText w:val="%8."/>
      <w:lvlJc w:val="left"/>
      <w:pPr>
        <w:tabs>
          <w:tab w:pos="5880" w:val="num"/>
        </w:tabs>
        <w:ind w:hanging="360" w:left="5880"/>
      </w:pPr>
    </w:lvl>
    <w:lvl w:ilvl="8">
      <w:start w:val="1"/>
      <w:numFmt w:val="lowerRoman"/>
      <w:lvlText w:val="%9."/>
      <w:lvlJc w:val="right"/>
      <w:pPr>
        <w:tabs>
          <w:tab w:pos="6600" w:val="num"/>
        </w:tabs>
        <w:ind w:hanging="180" w:left="66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GB"/>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bidi="ar-SA" w:eastAsia="en-GB" w:val="en-GB"/>
      </w:rPr>
    </w:rPrDefault>
    <w:pPrDefaul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false"/>
      <w:bidi w:val="0"/>
      <w:jc w:val="left"/>
    </w:pPr>
    <w:rPr>
      <w:rFonts w:ascii="Times New Roman" w:cs="Times New Roman" w:eastAsia="Times New Roman" w:hAnsi="Times New Roman"/>
      <w:color w:val="auto"/>
      <w:sz w:val="20"/>
      <w:szCs w:val="20"/>
      <w:lang w:bidi="he-IL" w:eastAsia="he-IL" w:val="en-US"/>
    </w:rPr>
  </w:style>
  <w:style w:styleId="Heading1" w:type="paragraph">
    <w:name w:val="Heading 1"/>
    <w:basedOn w:val="Normal"/>
    <w:next w:val="TextBody"/>
    <w:qFormat/>
    <w:pPr>
      <w:keepNext w:val="true"/>
      <w:numPr>
        <w:ilvl w:val="0"/>
        <w:numId w:val="1"/>
      </w:numPr>
      <w:spacing w:after="60" w:before="240"/>
      <w:ind w:hanging="0" w:right="432"/>
      <w:jc w:val="center"/>
      <w:outlineLvl w:val="0"/>
    </w:pPr>
    <w:rPr>
      <w:b/>
      <w:bCs/>
      <w:smallCaps/>
      <w:sz w:val="28"/>
      <w:szCs w:val="28"/>
    </w:rPr>
  </w:style>
  <w:style w:styleId="Heading2" w:type="paragraph">
    <w:name w:val="Heading 2"/>
    <w:basedOn w:val="Normal"/>
    <w:next w:val="TextBody"/>
    <w:qFormat/>
    <w:pPr>
      <w:keepNext w:val="true"/>
      <w:numPr>
        <w:ilvl w:val="1"/>
        <w:numId w:val="1"/>
      </w:numPr>
      <w:spacing w:after="0" w:before="720" w:line="360" w:lineRule="auto"/>
      <w:ind w:hanging="0" w:right="576"/>
      <w:outlineLvl w:val="1"/>
    </w:pPr>
    <w:rPr>
      <w:b/>
      <w:bCs/>
      <w:sz w:val="24"/>
      <w:szCs w:val="24"/>
    </w:rPr>
  </w:style>
  <w:style w:styleId="Heading3" w:type="paragraph">
    <w:name w:val="Heading 3"/>
    <w:basedOn w:val="Normal"/>
    <w:next w:val="TextBody"/>
    <w:qFormat/>
    <w:pPr>
      <w:keepNext w:val="true"/>
      <w:numPr>
        <w:ilvl w:val="2"/>
        <w:numId w:val="1"/>
      </w:numPr>
      <w:spacing w:after="0" w:before="480" w:line="360" w:lineRule="auto"/>
      <w:ind w:hanging="0" w:right="432"/>
      <w:outlineLvl w:val="2"/>
    </w:pPr>
    <w:rPr>
      <w:b/>
      <w:bCs/>
      <w:sz w:val="24"/>
      <w:szCs w:val="24"/>
    </w:rPr>
  </w:style>
  <w:style w:styleId="Heading4" w:type="paragraph">
    <w:name w:val="Heading 4"/>
    <w:basedOn w:val="Heading3"/>
    <w:next w:val="TextBody"/>
    <w:qFormat/>
    <w:pPr>
      <w:numPr>
        <w:ilvl w:val="3"/>
        <w:numId w:val="1"/>
      </w:numPr>
      <w:spacing w:after="0" w:before="360" w:line="240" w:lineRule="auto"/>
      <w:ind w:hanging="0" w:right="864"/>
      <w:outlineLvl w:val="3"/>
    </w:pPr>
    <w:rPr>
      <w:bCs w:val="false"/>
      <w:i/>
      <w:lang w:eastAsia="en-US"/>
    </w:rPr>
  </w:style>
  <w:style w:styleId="Heading5" w:type="paragraph">
    <w:name w:val="Heading 5"/>
    <w:basedOn w:val="Normal"/>
    <w:next w:val="Normal"/>
    <w:qFormat/>
    <w:pPr>
      <w:keepNext w:val="true"/>
      <w:numPr>
        <w:ilvl w:val="4"/>
        <w:numId w:val="1"/>
      </w:numPr>
      <w:tabs>
        <w:tab w:leader="none" w:pos="8640" w:val="left"/>
      </w:tabs>
      <w:ind w:hanging="0" w:right="1008"/>
      <w:outlineLvl w:val="4"/>
    </w:pPr>
    <w:rPr>
      <w:b/>
      <w:bCs/>
      <w:sz w:val="24"/>
      <w:szCs w:val="24"/>
      <w:lang w:eastAsia="en-US"/>
    </w:rPr>
  </w:style>
  <w:style w:styleId="Heading6" w:type="paragraph">
    <w:name w:val="Heading 6"/>
    <w:basedOn w:val="Normal"/>
    <w:next w:val="TextBody"/>
    <w:qFormat/>
    <w:pPr>
      <w:widowControl/>
      <w:numPr>
        <w:ilvl w:val="5"/>
        <w:numId w:val="1"/>
      </w:numPr>
      <w:bidi w:val="0"/>
      <w:jc w:val="left"/>
      <w:outlineLvl w:val="5"/>
    </w:pPr>
    <w:rPr>
      <w:b/>
      <w:bCs/>
      <w:smallCaps/>
      <w:sz w:val="28"/>
      <w:szCs w:val="32"/>
      <w:lang w:bidi="he-IL" w:eastAsia="he-IL" w:val="en-US"/>
    </w:rPr>
  </w:style>
  <w:style w:styleId="Heading7" w:type="paragraph">
    <w:name w:val="Heading 7"/>
    <w:basedOn w:val="Heading6"/>
    <w:next w:val="TextBody"/>
    <w:qFormat/>
    <w:pPr>
      <w:keepNext w:val="true"/>
      <w:keepLines/>
      <w:numPr>
        <w:ilvl w:val="6"/>
        <w:numId w:val="1"/>
      </w:numPr>
      <w:spacing w:after="0" w:before="720" w:line="360" w:lineRule="auto"/>
      <w:ind w:hanging="0" w:right="1296"/>
      <w:outlineLvl w:val="6"/>
    </w:pPr>
    <w:rPr>
      <w:caps w:val="false"/>
      <w:smallCaps w:val="false"/>
      <w:sz w:val="24"/>
      <w:szCs w:val="28"/>
    </w:rPr>
  </w:style>
  <w:style w:styleId="Heading8" w:type="paragraph">
    <w:name w:val="Heading 8"/>
    <w:basedOn w:val="Heading7"/>
    <w:next w:val="TextBody"/>
    <w:qFormat/>
    <w:pPr>
      <w:numPr>
        <w:ilvl w:val="7"/>
        <w:numId w:val="1"/>
      </w:numPr>
      <w:tabs>
        <w:tab w:leader="none" w:pos="864" w:val="left"/>
      </w:tabs>
      <w:spacing w:after="60" w:before="480"/>
      <w:ind w:hanging="0" w:right="432"/>
      <w:outlineLvl w:val="7"/>
    </w:pPr>
    <w:rPr>
      <w:iCs/>
      <w:szCs w:val="24"/>
    </w:rPr>
  </w:style>
  <w:style w:styleId="Heading9" w:type="paragraph">
    <w:name w:val="Heading 9"/>
    <w:basedOn w:val="Normal"/>
    <w:next w:val="Normal"/>
    <w:qFormat/>
    <w:pPr>
      <w:numPr>
        <w:ilvl w:val="8"/>
        <w:numId w:val="1"/>
      </w:numPr>
      <w:spacing w:after="60" w:before="240"/>
      <w:ind w:hanging="0" w:right="1584"/>
      <w:outlineLvl w:val="8"/>
    </w:pPr>
    <w:rPr>
      <w:rFonts w:ascii="Arial" w:cs="Arial" w:hAnsi="Arial"/>
      <w:sz w:val="22"/>
      <w:szCs w:val="22"/>
    </w:rPr>
  </w:style>
  <w:style w:default="1" w:styleId="DefaultParagraphFont" w:type="character">
    <w:name w:val="Default Paragraph Font"/>
    <w:semiHidden/>
    <w:qFormat/>
    <w:rPr/>
  </w:style>
  <w:style w:styleId="Pagenumber" w:type="character">
    <w:name w:val="page number"/>
    <w:basedOn w:val="DefaultParagraphFont"/>
    <w:semiHidden/>
    <w:qFormat/>
    <w:rPr/>
  </w:style>
  <w:style w:styleId="Footnotereference" w:type="character">
    <w:name w:val="footnote reference"/>
    <w:basedOn w:val="DefaultParagraphFont"/>
    <w:semiHidden/>
    <w:qFormat/>
    <w:rPr>
      <w:vertAlign w:val="superscript"/>
    </w:rPr>
  </w:style>
  <w:style w:customStyle="1" w:styleId="Red" w:type="character">
    <w:name w:val="red"/>
    <w:basedOn w:val="DefaultParagraphFont"/>
    <w:qFormat/>
    <w:rPr>
      <w:rFonts w:ascii="Arial" w:cs="Arial" w:hAnsi="Arial"/>
      <w:color w:val="FF0000"/>
      <w:sz w:val="24"/>
      <w:szCs w:val="24"/>
    </w:rPr>
  </w:style>
  <w:style w:styleId="InternetLink" w:type="character">
    <w:name w:val="Internet Link"/>
    <w:basedOn w:val="DefaultParagraphFont"/>
    <w:semiHidden/>
    <w:rPr>
      <w:color w:val="00000A"/>
      <w:u w:val="none"/>
    </w:rPr>
  </w:style>
  <w:style w:styleId="Annotationreference" w:type="character">
    <w:name w:val="annotation reference"/>
    <w:basedOn w:val="DefaultParagraphFont"/>
    <w:semiHidden/>
    <w:qFormat/>
    <w:rPr>
      <w:sz w:val="16"/>
      <w:szCs w:val="16"/>
    </w:rPr>
  </w:style>
  <w:style w:styleId="FollowedHyperlink" w:type="character">
    <w:name w:val="FollowedHyperlink"/>
    <w:basedOn w:val="DefaultParagraphFont"/>
    <w:semiHidden/>
    <w:qFormat/>
    <w:rPr>
      <w:color w:val="00000A"/>
      <w:u w:val="none"/>
    </w:rPr>
  </w:style>
  <w:style w:customStyle="1" w:styleId="Heading2Char" w:type="character">
    <w:name w:val="Heading 2 Char"/>
    <w:basedOn w:val="DefaultParagraphFont"/>
    <w:qFormat/>
    <w:rPr>
      <w:b/>
      <w:bCs/>
      <w:sz w:val="24"/>
      <w:szCs w:val="24"/>
      <w:lang w:bidi="he-IL" w:eastAsia="he-IL" w:val="en-US"/>
    </w:rPr>
  </w:style>
  <w:style w:styleId="HTMLKeyboard" w:type="character">
    <w:name w:val="HTML Keyboard"/>
    <w:basedOn w:val="DefaultParagraphFont"/>
    <w:semiHidden/>
    <w:qFormat/>
    <w:rPr>
      <w:rFonts w:ascii="Courier New" w:cs="Courier New" w:eastAsia="Times New Roman" w:hAnsi="Courier New"/>
      <w:sz w:val="20"/>
      <w:szCs w:val="20"/>
    </w:rPr>
  </w:style>
  <w:style w:customStyle="1" w:styleId="BodyTextChar" w:type="character">
    <w:name w:val="Body Text Char"/>
    <w:basedOn w:val="DefaultParagraphFont"/>
    <w:qFormat/>
    <w:rPr>
      <w:rFonts w:ascii="Arial" w:hAnsi="Arial"/>
      <w:szCs w:val="24"/>
      <w:lang w:bidi="he-IL" w:eastAsia="he-IL" w:val="en-US"/>
    </w:rPr>
  </w:style>
  <w:style w:customStyle="1" w:styleId="Heading6Char" w:type="character">
    <w:name w:val="Heading 6 Char"/>
    <w:basedOn w:val="DefaultParagraphFont"/>
    <w:qFormat/>
    <w:rPr>
      <w:b/>
      <w:bCs/>
      <w:smallCaps/>
      <w:sz w:val="28"/>
      <w:szCs w:val="32"/>
      <w:lang w:bidi="he-IL" w:eastAsia="he-IL" w:val="en-US"/>
    </w:rPr>
  </w:style>
  <w:style w:customStyle="1" w:styleId="Heading7Char" w:type="character">
    <w:name w:val="Heading 7 Char"/>
    <w:basedOn w:val="Heading6Char"/>
    <w:qFormat/>
    <w:rPr>
      <w:b/>
      <w:bCs/>
      <w:smallCaps/>
      <w:sz w:val="24"/>
      <w:szCs w:val="28"/>
      <w:lang w:bidi="he-IL" w:eastAsia="he-IL" w:val="en-US"/>
    </w:rPr>
  </w:style>
  <w:style w:customStyle="1" w:styleId="Heading8Char" w:type="character">
    <w:name w:val="Heading 8 Char"/>
    <w:basedOn w:val="Heading7Char"/>
    <w:qFormat/>
    <w:rPr>
      <w:b/>
      <w:bCs/>
      <w:iCs/>
      <w:smallCaps/>
      <w:sz w:val="24"/>
      <w:szCs w:val="24"/>
      <w:lang w:bidi="he-IL" w:eastAsia="he-IL" w:val="en-US"/>
    </w:rPr>
  </w:style>
  <w:style w:customStyle="1" w:styleId="StyleAuthorNote10ptItalicBlueChar" w:type="character">
    <w:name w:val="Style AuthorNote + 10 pt Italic Blue Char"/>
    <w:basedOn w:val="DefaultParagraphFont"/>
    <w:qFormat/>
    <w:rPr>
      <w:rFonts w:ascii="Arial" w:cs="Arial" w:eastAsia="Arial Unicode MS" w:hAnsi="Arial"/>
      <w:i/>
      <w:iCs/>
      <w:color w:val="0000FF"/>
      <w:sz w:val="18"/>
      <w:lang w:bidi="he-IL" w:eastAsia="he-IL" w:val="en-US"/>
    </w:rPr>
  </w:style>
  <w:style w:customStyle="1" w:styleId="StyleStyleAuthorNote9ptItalicBlueLeftCharChar" w:type="character">
    <w:name w:val="Style Style AuthorNote + 9 pt Italic Blue + Left Char Char"/>
    <w:basedOn w:val="StyleAuthorNote10ptItalicBlueChar"/>
    <w:qFormat/>
    <w:rPr>
      <w:rFonts w:ascii="Arial" w:cs="Arial" w:eastAsia="Arial Unicode MS" w:hAnsi="Arial"/>
      <w:i/>
      <w:iCs/>
      <w:color w:val="0000FF"/>
      <w:sz w:val="18"/>
      <w:lang w:bidi="he-IL" w:eastAsia="he-IL" w:val="en-US"/>
    </w:rPr>
  </w:style>
  <w:style w:styleId="ListLabel1" w:type="character">
    <w:name w:val="ListLabel 1"/>
    <w:qFormat/>
    <w:rPr>
      <w:rFonts w:cs="Courier New"/>
    </w:rPr>
  </w:style>
  <w:style w:styleId="ListLabel2" w:type="character">
    <w:name w:val="ListLabel 2"/>
    <w:qFormat/>
    <w:rPr>
      <w:rFonts w:cs="Courier New"/>
    </w:rPr>
  </w:style>
  <w:style w:styleId="ListLabel3" w:type="character">
    <w:name w:val="ListLabel 3"/>
    <w:qFormat/>
    <w:rPr>
      <w:rFonts w:cs="Courier New"/>
    </w:rPr>
  </w:style>
  <w:style w:styleId="ListLabel4" w:type="character">
    <w:name w:val="ListLabel 4"/>
    <w:qFormat/>
    <w:rPr>
      <w:rFonts w:cs="Courier New"/>
    </w:rPr>
  </w:style>
  <w:style w:styleId="ListLabel5" w:type="character">
    <w:name w:val="ListLabel 5"/>
    <w:qFormat/>
    <w:rPr>
      <w:rFonts w:cs="Courier New"/>
    </w:rPr>
  </w:style>
  <w:style w:styleId="ListLabel6" w:type="character">
    <w:name w:val="ListLabel 6"/>
    <w:qFormat/>
    <w:rPr>
      <w:rFonts w:cs="Courier New"/>
    </w:rPr>
  </w:style>
  <w:style w:styleId="ListLabel7" w:type="character">
    <w:name w:val="ListLabel 7"/>
    <w:qFormat/>
    <w:rPr>
      <w:rFonts w:cs="Times New Roman" w:eastAsia="Times New Roman"/>
      <w:i/>
    </w:rPr>
  </w:style>
  <w:style w:styleId="ListLabel8" w:type="character">
    <w:name w:val="ListLabel 8"/>
    <w:qFormat/>
    <w:rPr>
      <w:rFonts w:cs="Courier New"/>
    </w:rPr>
  </w:style>
  <w:style w:styleId="ListLabel9" w:type="character">
    <w:name w:val="ListLabel 9"/>
    <w:qFormat/>
    <w:rPr>
      <w:rFonts w:cs="Courier New"/>
    </w:rPr>
  </w:style>
  <w:style w:styleId="ListLabel10" w:type="character">
    <w:name w:val="ListLabel 10"/>
    <w:qFormat/>
    <w:rPr>
      <w:rFonts w:cs="Courier New"/>
    </w:rPr>
  </w:style>
  <w:style w:styleId="ListLabel11" w:type="character">
    <w:name w:val="ListLabel 11"/>
    <w:qFormat/>
    <w:rPr>
      <w:sz w:val="20"/>
    </w:rPr>
  </w:style>
  <w:style w:styleId="ListLabel12" w:type="character">
    <w:name w:val="ListLabel 12"/>
    <w:qFormat/>
    <w:rPr>
      <w:sz w:val="20"/>
    </w:rPr>
  </w:style>
  <w:style w:styleId="ListLabel13" w:type="character">
    <w:name w:val="ListLabel 13"/>
    <w:qFormat/>
    <w:rPr>
      <w:sz w:val="20"/>
    </w:rPr>
  </w:style>
  <w:style w:styleId="ListLabel14" w:type="character">
    <w:name w:val="ListLabel 14"/>
    <w:qFormat/>
    <w:rPr>
      <w:sz w:val="20"/>
    </w:rPr>
  </w:style>
  <w:style w:styleId="ListLabel15" w:type="character">
    <w:name w:val="ListLabel 15"/>
    <w:qFormat/>
    <w:rPr>
      <w:sz w:val="20"/>
    </w:rPr>
  </w:style>
  <w:style w:styleId="ListLabel16" w:type="character">
    <w:name w:val="ListLabel 16"/>
    <w:qFormat/>
    <w:rPr>
      <w:sz w:val="20"/>
    </w:rPr>
  </w:style>
  <w:style w:styleId="ListLabel17" w:type="character">
    <w:name w:val="ListLabel 17"/>
    <w:qFormat/>
    <w:rPr>
      <w:sz w:val="20"/>
    </w:rPr>
  </w:style>
  <w:style w:styleId="ListLabel18" w:type="character">
    <w:name w:val="ListLabel 18"/>
    <w:qFormat/>
    <w:rPr>
      <w:sz w:val="20"/>
    </w:rPr>
  </w:style>
  <w:style w:styleId="ListLabel19" w:type="character">
    <w:name w:val="ListLabel 19"/>
    <w:qFormat/>
    <w:rPr>
      <w:sz w:val="20"/>
    </w:rPr>
  </w:style>
  <w:style w:styleId="ListLabel20" w:type="character">
    <w:name w:val="ListLabel 20"/>
    <w:qFormat/>
    <w:rPr>
      <w:sz w:val="20"/>
    </w:rPr>
  </w:style>
  <w:style w:styleId="ListLabel21" w:type="character">
    <w:name w:val="ListLabel 21"/>
    <w:qFormat/>
    <w:rPr>
      <w:sz w:val="20"/>
    </w:rPr>
  </w:style>
  <w:style w:styleId="ListLabel22" w:type="character">
    <w:name w:val="ListLabel 22"/>
    <w:qFormat/>
    <w:rPr>
      <w:sz w:val="20"/>
    </w:rPr>
  </w:style>
  <w:style w:styleId="ListLabel23" w:type="character">
    <w:name w:val="ListLabel 23"/>
    <w:qFormat/>
    <w:rPr>
      <w:sz w:val="20"/>
    </w:rPr>
  </w:style>
  <w:style w:styleId="ListLabel24" w:type="character">
    <w:name w:val="ListLabel 24"/>
    <w:qFormat/>
    <w:rPr>
      <w:sz w:val="20"/>
    </w:rPr>
  </w:style>
  <w:style w:styleId="ListLabel25" w:type="character">
    <w:name w:val="ListLabel 25"/>
    <w:qFormat/>
    <w:rPr>
      <w:sz w:val="20"/>
    </w:rPr>
  </w:style>
  <w:style w:styleId="ListLabel26" w:type="character">
    <w:name w:val="ListLabel 26"/>
    <w:qFormat/>
    <w:rPr>
      <w:sz w:val="20"/>
    </w:rPr>
  </w:style>
  <w:style w:styleId="ListLabel27" w:type="character">
    <w:name w:val="ListLabel 27"/>
    <w:qFormat/>
    <w:rPr>
      <w:sz w:val="20"/>
    </w:rPr>
  </w:style>
  <w:style w:styleId="ListLabel28" w:type="character">
    <w:name w:val="ListLabel 28"/>
    <w:qFormat/>
    <w:rPr>
      <w:sz w:val="20"/>
    </w:rPr>
  </w:style>
  <w:style w:styleId="ListLabel29" w:type="character">
    <w:name w:val="ListLabel 29"/>
    <w:qFormat/>
    <w:rPr>
      <w:rFonts w:cs="Courier New"/>
    </w:rPr>
  </w:style>
  <w:style w:styleId="ListLabel30" w:type="character">
    <w:name w:val="ListLabel 30"/>
    <w:qFormat/>
    <w:rPr>
      <w:rFonts w:cs="Courier New"/>
    </w:rPr>
  </w:style>
  <w:style w:styleId="ListLabel31" w:type="character">
    <w:name w:val="ListLabel 31"/>
    <w:qFormat/>
    <w:rPr>
      <w:rFonts w:cs="Courier New"/>
    </w:rPr>
  </w:style>
  <w:style w:styleId="ListLabel32" w:type="character">
    <w:name w:val="ListLabel 32"/>
    <w:qFormat/>
    <w:rPr>
      <w:rFonts w:cs="Courier New"/>
    </w:rPr>
  </w:style>
  <w:style w:styleId="ListLabel33" w:type="character">
    <w:name w:val="ListLabel 33"/>
    <w:qFormat/>
    <w:rPr>
      <w:rFonts w:cs="Courier New"/>
    </w:rPr>
  </w:style>
  <w:style w:styleId="ListLabel34" w:type="character">
    <w:name w:val="ListLabel 34"/>
    <w:qFormat/>
    <w:rPr>
      <w:rFonts w:cs="Courier New"/>
    </w:rPr>
  </w:style>
  <w:style w:styleId="ListLabel35" w:type="character">
    <w:name w:val="ListLabel 35"/>
    <w:qFormat/>
    <w:rPr>
      <w:rFonts w:cs="Courier New"/>
    </w:rPr>
  </w:style>
  <w:style w:styleId="ListLabel36" w:type="character">
    <w:name w:val="ListLabel 36"/>
    <w:qFormat/>
    <w:rPr>
      <w:rFonts w:cs="Courier New"/>
    </w:rPr>
  </w:style>
  <w:style w:styleId="ListLabel37" w:type="character">
    <w:name w:val="ListLabel 37"/>
    <w:qFormat/>
    <w:rPr>
      <w:rFonts w:cs="Courier New"/>
    </w:rPr>
  </w:style>
  <w:style w:styleId="ListLabel38" w:type="character">
    <w:name w:val="ListLabel 38"/>
    <w:qFormat/>
    <w:rPr>
      <w:rFonts w:cs="Courier New"/>
    </w:rPr>
  </w:style>
  <w:style w:styleId="ListLabel39" w:type="character">
    <w:name w:val="ListLabel 39"/>
    <w:qFormat/>
    <w:rPr>
      <w:rFonts w:cs="Courier New"/>
    </w:rPr>
  </w:style>
  <w:style w:styleId="ListLabel40" w:type="character">
    <w:name w:val="ListLabel 40"/>
    <w:qFormat/>
    <w:rPr>
      <w:rFonts w:cs="Courier New"/>
    </w:rPr>
  </w:style>
  <w:style w:styleId="ListLabel41" w:type="character">
    <w:name w:val="ListLabel 41"/>
    <w:qFormat/>
    <w:rPr>
      <w:sz w:val="20"/>
    </w:rPr>
  </w:style>
  <w:style w:styleId="ListLabel42" w:type="character">
    <w:name w:val="ListLabel 42"/>
    <w:qFormat/>
    <w:rPr>
      <w:sz w:val="20"/>
    </w:rPr>
  </w:style>
  <w:style w:styleId="ListLabel43" w:type="character">
    <w:name w:val="ListLabel 43"/>
    <w:qFormat/>
    <w:rPr>
      <w:sz w:val="20"/>
    </w:rPr>
  </w:style>
  <w:style w:styleId="ListLabel44" w:type="character">
    <w:name w:val="ListLabel 44"/>
    <w:qFormat/>
    <w:rPr>
      <w:sz w:val="20"/>
    </w:rPr>
  </w:style>
  <w:style w:styleId="ListLabel45" w:type="character">
    <w:name w:val="ListLabel 45"/>
    <w:qFormat/>
    <w:rPr>
      <w:sz w:val="20"/>
    </w:rPr>
  </w:style>
  <w:style w:styleId="ListLabel46" w:type="character">
    <w:name w:val="ListLabel 46"/>
    <w:qFormat/>
    <w:rPr>
      <w:sz w:val="20"/>
    </w:rPr>
  </w:style>
  <w:style w:styleId="ListLabel47" w:type="character">
    <w:name w:val="ListLabel 47"/>
    <w:qFormat/>
    <w:rPr>
      <w:sz w:val="20"/>
    </w:rPr>
  </w:style>
  <w:style w:styleId="ListLabel48" w:type="character">
    <w:name w:val="ListLabel 48"/>
    <w:qFormat/>
    <w:rPr>
      <w:sz w:val="20"/>
    </w:rPr>
  </w:style>
  <w:style w:styleId="ListLabel49" w:type="character">
    <w:name w:val="ListLabel 49"/>
    <w:qFormat/>
    <w:rPr>
      <w:sz w:val="20"/>
    </w:rPr>
  </w:style>
  <w:style w:styleId="ListLabel50" w:type="character">
    <w:name w:val="ListLabel 50"/>
    <w:qFormat/>
    <w:rPr>
      <w:sz w:val="20"/>
    </w:rPr>
  </w:style>
  <w:style w:styleId="ListLabel51" w:type="character">
    <w:name w:val="ListLabel 51"/>
    <w:qFormat/>
    <w:rPr>
      <w:sz w:val="20"/>
    </w:rPr>
  </w:style>
  <w:style w:styleId="ListLabel52" w:type="character">
    <w:name w:val="ListLabel 52"/>
    <w:qFormat/>
    <w:rPr>
      <w:sz w:val="20"/>
    </w:rPr>
  </w:style>
  <w:style w:styleId="ListLabel53" w:type="character">
    <w:name w:val="ListLabel 53"/>
    <w:qFormat/>
    <w:rPr>
      <w:sz w:val="20"/>
    </w:rPr>
  </w:style>
  <w:style w:styleId="ListLabel54" w:type="character">
    <w:name w:val="ListLabel 54"/>
    <w:qFormat/>
    <w:rPr>
      <w:sz w:val="20"/>
    </w:rPr>
  </w:style>
  <w:style w:styleId="ListLabel55" w:type="character">
    <w:name w:val="ListLabel 55"/>
    <w:qFormat/>
    <w:rPr>
      <w:sz w:val="20"/>
    </w:rPr>
  </w:style>
  <w:style w:styleId="ListLabel56" w:type="character">
    <w:name w:val="ListLabel 56"/>
    <w:qFormat/>
    <w:rPr>
      <w:sz w:val="20"/>
    </w:rPr>
  </w:style>
  <w:style w:styleId="ListLabel57" w:type="character">
    <w:name w:val="ListLabel 57"/>
    <w:qFormat/>
    <w:rPr>
      <w:sz w:val="20"/>
    </w:rPr>
  </w:style>
  <w:style w:styleId="ListLabel58" w:type="character">
    <w:name w:val="ListLabel 58"/>
    <w:qFormat/>
    <w:rPr>
      <w:sz w:val="20"/>
    </w:rPr>
  </w:style>
  <w:style w:styleId="ListLabel59" w:type="character">
    <w:name w:val="ListLabel 59"/>
    <w:qFormat/>
    <w:rPr>
      <w:sz w:val="20"/>
    </w:rPr>
  </w:style>
  <w:style w:styleId="ListLabel60" w:type="character">
    <w:name w:val="ListLabel 60"/>
    <w:qFormat/>
    <w:rPr>
      <w:sz w:val="20"/>
    </w:rPr>
  </w:style>
  <w:style w:styleId="ListLabel61" w:type="character">
    <w:name w:val="ListLabel 61"/>
    <w:qFormat/>
    <w:rPr>
      <w:sz w:val="20"/>
    </w:rPr>
  </w:style>
  <w:style w:styleId="ListLabel62" w:type="character">
    <w:name w:val="ListLabel 62"/>
    <w:qFormat/>
    <w:rPr>
      <w:sz w:val="20"/>
    </w:rPr>
  </w:style>
  <w:style w:styleId="ListLabel63" w:type="character">
    <w:name w:val="ListLabel 63"/>
    <w:qFormat/>
    <w:rPr>
      <w:sz w:val="20"/>
    </w:rPr>
  </w:style>
  <w:style w:styleId="ListLabel64" w:type="character">
    <w:name w:val="ListLabel 64"/>
    <w:qFormat/>
    <w:rPr>
      <w:sz w:val="20"/>
    </w:rPr>
  </w:style>
  <w:style w:styleId="ListLabel65" w:type="character">
    <w:name w:val="ListLabel 65"/>
    <w:qFormat/>
    <w:rPr>
      <w:sz w:val="20"/>
    </w:rPr>
  </w:style>
  <w:style w:styleId="ListLabel66" w:type="character">
    <w:name w:val="ListLabel 66"/>
    <w:qFormat/>
    <w:rPr>
      <w:sz w:val="20"/>
    </w:rPr>
  </w:style>
  <w:style w:styleId="ListLabel67" w:type="character">
    <w:name w:val="ListLabel 67"/>
    <w:qFormat/>
    <w:rPr>
      <w:sz w:val="20"/>
    </w:rPr>
  </w:style>
  <w:style w:styleId="ListLabel68" w:type="character">
    <w:name w:val="ListLabel 68"/>
    <w:qFormat/>
    <w:rPr>
      <w:rFonts w:cs="Courier New"/>
    </w:rPr>
  </w:style>
  <w:style w:styleId="ListLabel69" w:type="character">
    <w:name w:val="ListLabel 69"/>
    <w:qFormat/>
    <w:rPr>
      <w:rFonts w:cs="Courier New"/>
    </w:rPr>
  </w:style>
  <w:style w:styleId="ListLabel70" w:type="character">
    <w:name w:val="ListLabel 70"/>
    <w:qFormat/>
    <w:rPr>
      <w:rFonts w:cs="Courier New"/>
    </w:rPr>
  </w:style>
  <w:style w:styleId="ListLabel71" w:type="character">
    <w:name w:val="ListLabel 71"/>
    <w:qFormat/>
    <w:rPr>
      <w:rFonts w:cs="Courier New"/>
    </w:rPr>
  </w:style>
  <w:style w:styleId="ListLabel72" w:type="character">
    <w:name w:val="ListLabel 72"/>
    <w:qFormat/>
    <w:rPr>
      <w:rFonts w:cs="Courier New"/>
    </w:rPr>
  </w:style>
  <w:style w:styleId="ListLabel73" w:type="character">
    <w:name w:val="ListLabel 73"/>
    <w:qFormat/>
    <w:rPr>
      <w:rFonts w:cs="Courier New"/>
    </w:rPr>
  </w:style>
  <w:style w:styleId="ListLabel74" w:type="character">
    <w:name w:val="ListLabel 74"/>
    <w:qFormat/>
    <w:rPr>
      <w:rFonts w:cs="Courier New"/>
    </w:rPr>
  </w:style>
  <w:style w:styleId="ListLabel75" w:type="character">
    <w:name w:val="ListLabel 75"/>
    <w:qFormat/>
    <w:rPr>
      <w:rFonts w:cs="Courier New"/>
    </w:rPr>
  </w:style>
  <w:style w:styleId="ListLabel76" w:type="character">
    <w:name w:val="ListLabel 76"/>
    <w:qFormat/>
    <w:rPr>
      <w:rFonts w:cs="Courier New"/>
    </w:rPr>
  </w:style>
  <w:style w:styleId="EndnoteCharacters" w:type="character">
    <w:name w:val="Endnote Characters"/>
    <w:qFormat/>
    <w:rPr/>
  </w:style>
  <w:style w:styleId="IndexLink" w:type="character">
    <w:name w:val="Index Link"/>
    <w:qFormat/>
    <w:rPr/>
  </w:style>
  <w:style w:styleId="Heading" w:type="paragraph">
    <w:name w:val="Heading"/>
    <w:basedOn w:val="Normal"/>
    <w:next w:val="TextBody"/>
    <w:qFormat/>
    <w:pPr>
      <w:keepNext w:val="true"/>
      <w:spacing w:after="120" w:before="240"/>
    </w:pPr>
    <w:rPr>
      <w:rFonts w:ascii="Liberation Sans" w:cs="Lohit Devanagari" w:eastAsia="WenQuanYi Zen Hei Sharp" w:hAnsi="Liberation Sans"/>
      <w:sz w:val="28"/>
      <w:szCs w:val="28"/>
    </w:rPr>
  </w:style>
  <w:style w:styleId="TextBody" w:type="paragraph">
    <w:name w:val="Body Text"/>
    <w:basedOn w:val="Normal"/>
    <w:semiHidden/>
    <w:pPr>
      <w:spacing w:after="0" w:before="240" w:line="480" w:lineRule="auto"/>
      <w:jc w:val="both"/>
    </w:pPr>
    <w:rPr>
      <w:rFonts w:ascii="Arial" w:hAnsi="Arial"/>
      <w:szCs w:val="24"/>
    </w:rPr>
  </w:style>
  <w:style w:styleId="List" w:type="paragraph">
    <w:name w:val="List"/>
    <w:basedOn w:val="Normal"/>
    <w:semiHidden/>
    <w:pPr>
      <w:keepLines/>
      <w:spacing w:after="0" w:before="120"/>
      <w:ind w:hanging="360" w:left="360"/>
    </w:pPr>
    <w:rPr>
      <w:rFonts w:ascii="Arial" w:hAnsi="Arial"/>
      <w:szCs w:val="24"/>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NormalWeb" w:type="paragraph">
    <w:name w:val="Normal (Web)"/>
    <w:basedOn w:val="Normal"/>
    <w:semiHidden/>
    <w:qFormat/>
    <w:pPr>
      <w:spacing w:after="100" w:before="100"/>
    </w:pPr>
    <w:rPr>
      <w:sz w:val="24"/>
      <w:szCs w:val="24"/>
    </w:rPr>
  </w:style>
  <w:style w:styleId="BodyText2" w:type="paragraph">
    <w:name w:val="Body Text 2"/>
    <w:basedOn w:val="Normal"/>
    <w:semiHidden/>
    <w:qFormat/>
    <w:pPr/>
    <w:rPr>
      <w:b/>
      <w:bCs/>
      <w:sz w:val="24"/>
      <w:szCs w:val="24"/>
    </w:rPr>
  </w:style>
  <w:style w:styleId="PlainText" w:type="paragraph">
    <w:name w:val="Plain Text"/>
    <w:basedOn w:val="Normal"/>
    <w:semiHidden/>
    <w:qFormat/>
    <w:pPr/>
    <w:rPr>
      <w:rFonts w:ascii="Courier New" w:hAnsi="Courier New"/>
    </w:rPr>
  </w:style>
  <w:style w:styleId="Footer" w:type="paragraph">
    <w:name w:val="Footer"/>
    <w:basedOn w:val="Normal"/>
    <w:semiHidden/>
    <w:pPr>
      <w:tabs>
        <w:tab w:leader="none" w:pos="4153" w:val="center"/>
        <w:tab w:leader="none" w:pos="8306" w:val="right"/>
      </w:tabs>
    </w:pPr>
    <w:rPr/>
  </w:style>
  <w:style w:styleId="Header" w:type="paragraph">
    <w:name w:val="Header"/>
    <w:basedOn w:val="Normal"/>
    <w:semiHidden/>
    <w:pPr>
      <w:tabs>
        <w:tab w:leader="none" w:pos="4320" w:val="center"/>
        <w:tab w:leader="none" w:pos="8640" w:val="right"/>
      </w:tabs>
    </w:pPr>
    <w:rPr>
      <w:lang w:eastAsia="en-US"/>
    </w:rPr>
  </w:style>
  <w:style w:styleId="Footnotetext" w:type="paragraph">
    <w:name w:val="footnote text"/>
    <w:basedOn w:val="Normal"/>
    <w:semiHidden/>
    <w:qFormat/>
    <w:pPr/>
    <w:rPr/>
  </w:style>
  <w:style w:styleId="TextBodyIndent" w:type="paragraph">
    <w:name w:val="Body Text Indent"/>
    <w:basedOn w:val="Normal"/>
    <w:semiHidden/>
    <w:pPr>
      <w:spacing w:after="0" w:before="120"/>
    </w:pPr>
    <w:rPr>
      <w:color w:val="0000FF"/>
      <w:sz w:val="24"/>
      <w:szCs w:val="24"/>
    </w:rPr>
  </w:style>
  <w:style w:styleId="Caption1" w:type="paragraph">
    <w:name w:val="caption"/>
    <w:basedOn w:val="Normal"/>
    <w:next w:val="Normal"/>
    <w:qFormat/>
    <w:pPr>
      <w:spacing w:after="120" w:before="120"/>
    </w:pPr>
    <w:rPr>
      <w:b/>
      <w:bCs/>
      <w:lang w:bidi="ar-SA" w:eastAsia="nl-NL" w:val="nl-NL"/>
    </w:rPr>
  </w:style>
  <w:style w:styleId="Title" w:type="paragraph">
    <w:name w:val="Title"/>
    <w:basedOn w:val="Normal"/>
    <w:qFormat/>
    <w:pPr>
      <w:spacing w:after="0" w:before="120" w:line="360" w:lineRule="auto"/>
      <w:ind w:hanging="0" w:left="288"/>
      <w:jc w:val="center"/>
    </w:pPr>
    <w:rPr>
      <w:rFonts w:ascii="Arial" w:cs="Arial" w:hAnsi="Arial"/>
      <w:b/>
      <w:bCs/>
      <w:smallCaps/>
      <w:sz w:val="28"/>
      <w:szCs w:val="28"/>
      <w:lang w:bidi="ar-SA" w:eastAsia="nl-NL" w:val="en-GB"/>
    </w:rPr>
  </w:style>
  <w:style w:styleId="BalloonText" w:type="paragraph">
    <w:name w:val="Balloon Text"/>
    <w:basedOn w:val="Normal"/>
    <w:semiHidden/>
    <w:qFormat/>
    <w:pPr/>
    <w:rPr>
      <w:rFonts w:ascii="Tahoma" w:cs="Tahoma" w:hAnsi="Tahoma"/>
      <w:sz w:val="16"/>
      <w:szCs w:val="16"/>
    </w:rPr>
  </w:style>
  <w:style w:styleId="Contents1" w:type="paragraph">
    <w:name w:val="TOC 1"/>
    <w:basedOn w:val="Normal"/>
    <w:next w:val="Normal"/>
    <w:semiHidden/>
    <w:pPr>
      <w:keepNext w:val="true"/>
      <w:keepLines/>
      <w:tabs>
        <w:tab w:leader="none" w:pos="600" w:val="left"/>
        <w:tab w:leader="none" w:pos="8280" w:val="right"/>
      </w:tabs>
      <w:spacing w:after="0" w:before="360"/>
      <w:outlineLvl w:val="0"/>
    </w:pPr>
    <w:rPr>
      <w:rFonts w:cs="Arial"/>
      <w:b/>
      <w:bCs/>
      <w:color w:val="000000"/>
      <w:sz w:val="24"/>
      <w:lang w:eastAsia="en-US"/>
    </w:rPr>
  </w:style>
  <w:style w:styleId="Contents2" w:type="paragraph">
    <w:name w:val="TOC 2"/>
    <w:basedOn w:val="Contents1"/>
    <w:next w:val="Normal"/>
    <w:semiHidden/>
    <w:pPr>
      <w:keepNext w:val="false"/>
      <w:tabs>
        <w:tab w:leader="none" w:pos="1134" w:val="left"/>
      </w:tabs>
      <w:spacing w:after="0" w:before="120"/>
      <w:ind w:hanging="0" w:left="605"/>
      <w:outlineLvl w:val="1"/>
    </w:pPr>
    <w:rPr>
      <w:rFonts w:cs="Times New Roman"/>
      <w:bCs w:val="false"/>
      <w:color w:val="00000A"/>
      <w:sz w:val="22"/>
      <w:szCs w:val="28"/>
      <w:lang w:bidi="ar-SA"/>
    </w:rPr>
  </w:style>
  <w:style w:styleId="Contents3" w:type="paragraph">
    <w:name w:val="TOC 3"/>
    <w:basedOn w:val="Contents2"/>
    <w:next w:val="Normal"/>
    <w:semiHidden/>
    <w:pPr>
      <w:tabs>
        <w:tab w:leader="none" w:pos="1843" w:val="left"/>
        <w:tab w:leader="dot" w:pos="8296" w:val="right"/>
      </w:tabs>
      <w:spacing w:after="0" w:before="0"/>
      <w:ind w:hanging="0" w:left="1138"/>
      <w:outlineLvl w:val="2"/>
    </w:pPr>
    <w:rPr>
      <w:b w:val="false"/>
      <w:sz w:val="20"/>
    </w:rPr>
  </w:style>
  <w:style w:styleId="Contents4" w:type="paragraph">
    <w:name w:val="TOC 4"/>
    <w:basedOn w:val="Normal"/>
    <w:next w:val="Normal"/>
    <w:autoRedefine/>
    <w:semiHidden/>
    <w:pPr>
      <w:ind w:hanging="0" w:left="400"/>
    </w:pPr>
    <w:rPr/>
  </w:style>
  <w:style w:styleId="Contents5" w:type="paragraph">
    <w:name w:val="TOC 5"/>
    <w:basedOn w:val="Normal"/>
    <w:next w:val="Normal"/>
    <w:autoRedefine/>
    <w:semiHidden/>
    <w:pPr>
      <w:ind w:hanging="0" w:left="600"/>
    </w:pPr>
    <w:rPr/>
  </w:style>
  <w:style w:styleId="Contents6" w:type="paragraph">
    <w:name w:val="TOC 6"/>
    <w:basedOn w:val="Normal"/>
    <w:next w:val="Normal"/>
    <w:autoRedefine/>
    <w:semiHidden/>
    <w:pPr>
      <w:ind w:hanging="0" w:left="800"/>
    </w:pPr>
    <w:rPr/>
  </w:style>
  <w:style w:styleId="Contents7" w:type="paragraph">
    <w:name w:val="TOC 7"/>
    <w:basedOn w:val="Normal"/>
    <w:next w:val="Normal"/>
    <w:autoRedefine/>
    <w:semiHidden/>
    <w:pPr>
      <w:ind w:hanging="0" w:left="1000"/>
    </w:pPr>
    <w:rPr/>
  </w:style>
  <w:style w:styleId="Contents8" w:type="paragraph">
    <w:name w:val="TOC 8"/>
    <w:basedOn w:val="Normal"/>
    <w:next w:val="Normal"/>
    <w:autoRedefine/>
    <w:semiHidden/>
    <w:pPr>
      <w:ind w:hanging="0" w:left="1200"/>
    </w:pPr>
    <w:rPr/>
  </w:style>
  <w:style w:styleId="Contents9" w:type="paragraph">
    <w:name w:val="TOC 9"/>
    <w:basedOn w:val="Normal"/>
    <w:next w:val="Normal"/>
    <w:autoRedefine/>
    <w:semiHidden/>
    <w:pPr>
      <w:ind w:hanging="0" w:left="1400"/>
    </w:pPr>
    <w:rPr/>
  </w:style>
  <w:style w:styleId="Annotationtext" w:type="paragraph">
    <w:name w:val="annotation text"/>
    <w:basedOn w:val="Normal"/>
    <w:semiHidden/>
    <w:qFormat/>
    <w:pPr/>
    <w:rPr/>
  </w:style>
  <w:style w:styleId="BodyText3" w:type="paragraph">
    <w:name w:val="Body Text 3"/>
    <w:basedOn w:val="Normal"/>
    <w:semiHidden/>
    <w:qFormat/>
    <w:pPr>
      <w:widowControl w:val="false"/>
    </w:pPr>
    <w:rPr>
      <w:sz w:val="24"/>
      <w:szCs w:val="24"/>
      <w:lang w:bidi="ar-SA" w:eastAsia="en-US"/>
    </w:rPr>
  </w:style>
  <w:style w:styleId="BodyTextIndent2" w:type="paragraph">
    <w:name w:val="Body Text Indent 2"/>
    <w:basedOn w:val="Normal"/>
    <w:semiHidden/>
    <w:qFormat/>
    <w:pPr>
      <w:pBdr>
        <w:top w:color="00000A" w:space="1" w:sz="12" w:val="single"/>
        <w:left w:color="00000A" w:space="4" w:sz="12" w:val="single"/>
        <w:bottom w:color="00000A" w:space="1" w:sz="12" w:val="single"/>
        <w:right w:color="00000A" w:space="4" w:sz="12" w:val="single"/>
      </w:pBdr>
      <w:spacing w:line="480" w:lineRule="auto"/>
      <w:ind w:hanging="0" w:left="6"/>
    </w:pPr>
    <w:rPr>
      <w:rFonts w:ascii="Arial" w:cs="Arial" w:hAnsi="Arial"/>
      <w:color w:val="FF0000"/>
      <w:sz w:val="24"/>
      <w:szCs w:val="24"/>
      <w:lang w:bidi="ar-SA" w:eastAsia="en-US" w:val="en-GB"/>
    </w:rPr>
  </w:style>
  <w:style w:styleId="BodyTextIndent3" w:type="paragraph">
    <w:name w:val="Body Text Indent 3"/>
    <w:basedOn w:val="Normal"/>
    <w:semiHidden/>
    <w:qFormat/>
    <w:pPr>
      <w:widowControl w:val="false"/>
      <w:ind w:firstLine="1440"/>
      <w:jc w:val="both"/>
    </w:pPr>
    <w:rPr>
      <w:sz w:val="24"/>
      <w:szCs w:val="24"/>
    </w:rPr>
  </w:style>
  <w:style w:styleId="Tableoffigures" w:type="paragraph">
    <w:name w:val="table of figures"/>
    <w:basedOn w:val="Normal"/>
    <w:next w:val="Normal"/>
    <w:autoRedefine/>
    <w:semiHidden/>
    <w:qFormat/>
    <w:pPr>
      <w:tabs>
        <w:tab w:leader="dot" w:pos="8280" w:val="right"/>
      </w:tabs>
      <w:ind w:hanging="400" w:left="400"/>
    </w:pPr>
    <w:rPr>
      <w:sz w:val="24"/>
    </w:rPr>
  </w:style>
  <w:style w:styleId="DocumentMap" w:type="paragraph">
    <w:name w:val="Document Map"/>
    <w:basedOn w:val="Normal"/>
    <w:semiHidden/>
    <w:qFormat/>
    <w:pPr>
      <w:shd w:color="auto" w:fill="000080" w:val="clear"/>
    </w:pPr>
    <w:rPr>
      <w:rFonts w:ascii="Tahoma" w:cs="Tahoma" w:hAnsi="Tahoma"/>
    </w:rPr>
  </w:style>
  <w:style w:customStyle="1" w:styleId="AuthorNote" w:type="paragraph">
    <w:name w:val="AuthorNote"/>
    <w:basedOn w:val="TextBody"/>
    <w:qFormat/>
    <w:pPr>
      <w:spacing w:line="240" w:lineRule="auto"/>
    </w:pPr>
    <w:rPr>
      <w:color w:val="800080"/>
      <w:sz w:val="18"/>
    </w:rPr>
  </w:style>
  <w:style w:styleId="BlockText" w:type="paragraph">
    <w:name w:val="Block Text"/>
    <w:basedOn w:val="Normal"/>
    <w:semiHidden/>
    <w:qFormat/>
    <w:pPr>
      <w:spacing w:after="120" w:before="0"/>
      <w:ind w:hanging="0" w:left="1440" w:right="1440"/>
    </w:pPr>
    <w:rPr/>
  </w:style>
  <w:style w:styleId="BodyTextIndent" w:type="paragraph">
    <w:name w:val="Body Text Indent"/>
    <w:basedOn w:val="TextBody"/>
    <w:semiHidden/>
    <w:qFormat/>
    <w:pPr>
      <w:spacing w:after="120" w:before="0" w:line="240" w:lineRule="auto"/>
      <w:ind w:firstLine="210"/>
    </w:pPr>
    <w:rPr>
      <w:szCs w:val="20"/>
    </w:rPr>
  </w:style>
  <w:style w:styleId="BodyTextFirstIndent2" w:type="paragraph">
    <w:name w:val="Body Text First Indent 2"/>
    <w:basedOn w:val="TextBodyIndent"/>
    <w:semiHidden/>
    <w:qFormat/>
    <w:pPr>
      <w:spacing w:after="120" w:before="0"/>
      <w:ind w:firstLine="210" w:left="360"/>
    </w:pPr>
    <w:rPr>
      <w:color w:val="00000A"/>
      <w:sz w:val="20"/>
      <w:szCs w:val="20"/>
    </w:rPr>
  </w:style>
  <w:style w:styleId="Closing" w:type="paragraph">
    <w:name w:val="Closing"/>
    <w:basedOn w:val="Normal"/>
    <w:semiHidden/>
    <w:qFormat/>
    <w:pPr>
      <w:ind w:hanging="0" w:left="4320"/>
    </w:pPr>
    <w:rPr/>
  </w:style>
  <w:style w:styleId="Annotationsubject" w:type="paragraph">
    <w:name w:val="annotation subject"/>
    <w:basedOn w:val="Annotationtext"/>
    <w:semiHidden/>
    <w:qFormat/>
    <w:pPr/>
    <w:rPr>
      <w:b/>
      <w:bCs/>
    </w:rPr>
  </w:style>
  <w:style w:styleId="Date" w:type="paragraph">
    <w:name w:val="Date"/>
    <w:basedOn w:val="Normal"/>
    <w:next w:val="Normal"/>
    <w:semiHidden/>
    <w:qFormat/>
    <w:pPr/>
    <w:rPr/>
  </w:style>
  <w:style w:styleId="EmailSignature" w:type="paragraph">
    <w:name w:val="E-mail Signature"/>
    <w:basedOn w:val="Normal"/>
    <w:semiHidden/>
    <w:qFormat/>
    <w:pPr/>
    <w:rPr/>
  </w:style>
  <w:style w:styleId="Endnotetext" w:type="paragraph">
    <w:name w:val="endnote text"/>
    <w:basedOn w:val="Normal"/>
    <w:semiHidden/>
    <w:qFormat/>
    <w:pPr/>
    <w:rPr/>
  </w:style>
  <w:style w:styleId="Envelopeaddress" w:type="paragraph">
    <w:name w:val="envelope address"/>
    <w:basedOn w:val="Normal"/>
    <w:semiHidden/>
    <w:qFormat/>
    <w:pPr>
      <w:ind w:hanging="0" w:left="2880"/>
    </w:pPr>
    <w:rPr>
      <w:rFonts w:ascii="Arial" w:cs="Arial" w:hAnsi="Arial"/>
      <w:sz w:val="24"/>
      <w:szCs w:val="24"/>
    </w:rPr>
  </w:style>
  <w:style w:styleId="Envelopereturn" w:type="paragraph">
    <w:name w:val="envelope return"/>
    <w:basedOn w:val="Normal"/>
    <w:semiHidden/>
    <w:qFormat/>
    <w:pPr/>
    <w:rPr>
      <w:rFonts w:ascii="Arial" w:cs="Arial" w:hAnsi="Arial"/>
    </w:rPr>
  </w:style>
  <w:style w:styleId="HTMLAddress" w:type="paragraph">
    <w:name w:val="HTML Address"/>
    <w:basedOn w:val="Normal"/>
    <w:semiHidden/>
    <w:qFormat/>
    <w:pPr/>
    <w:rPr>
      <w:i/>
      <w:iCs/>
    </w:rPr>
  </w:style>
  <w:style w:styleId="HTMLPreformatted" w:type="paragraph">
    <w:name w:val="HTML Preformatted"/>
    <w:basedOn w:val="Normal"/>
    <w:semiHidden/>
    <w:qFormat/>
    <w:pPr/>
    <w:rPr>
      <w:rFonts w:ascii="Courier New" w:cs="Courier New" w:hAnsi="Courier New"/>
    </w:rPr>
  </w:style>
  <w:style w:styleId="Index1" w:type="paragraph">
    <w:name w:val="index 1"/>
    <w:basedOn w:val="Normal"/>
    <w:next w:val="Normal"/>
    <w:autoRedefine/>
    <w:semiHidden/>
    <w:qFormat/>
    <w:pPr>
      <w:ind w:hanging="200" w:left="200"/>
    </w:pPr>
    <w:rPr/>
  </w:style>
  <w:style w:styleId="Index2" w:type="paragraph">
    <w:name w:val="index 2"/>
    <w:basedOn w:val="Normal"/>
    <w:next w:val="Normal"/>
    <w:autoRedefine/>
    <w:semiHidden/>
    <w:qFormat/>
    <w:pPr>
      <w:ind w:hanging="200" w:left="400"/>
    </w:pPr>
    <w:rPr/>
  </w:style>
  <w:style w:styleId="Index3" w:type="paragraph">
    <w:name w:val="index 3"/>
    <w:basedOn w:val="Normal"/>
    <w:next w:val="Normal"/>
    <w:autoRedefine/>
    <w:semiHidden/>
    <w:qFormat/>
    <w:pPr>
      <w:ind w:hanging="200" w:left="600"/>
    </w:pPr>
    <w:rPr/>
  </w:style>
  <w:style w:styleId="Index4" w:type="paragraph">
    <w:name w:val="index 4"/>
    <w:basedOn w:val="Normal"/>
    <w:next w:val="Normal"/>
    <w:autoRedefine/>
    <w:semiHidden/>
    <w:qFormat/>
    <w:pPr>
      <w:ind w:hanging="200" w:left="800"/>
    </w:pPr>
    <w:rPr/>
  </w:style>
  <w:style w:styleId="Index5" w:type="paragraph">
    <w:name w:val="index 5"/>
    <w:basedOn w:val="Normal"/>
    <w:next w:val="Normal"/>
    <w:autoRedefine/>
    <w:semiHidden/>
    <w:qFormat/>
    <w:pPr>
      <w:ind w:hanging="200" w:left="1000"/>
    </w:pPr>
    <w:rPr/>
  </w:style>
  <w:style w:styleId="Index6" w:type="paragraph">
    <w:name w:val="index 6"/>
    <w:basedOn w:val="Normal"/>
    <w:next w:val="Normal"/>
    <w:autoRedefine/>
    <w:semiHidden/>
    <w:qFormat/>
    <w:pPr>
      <w:ind w:hanging="200" w:left="1200"/>
    </w:pPr>
    <w:rPr/>
  </w:style>
  <w:style w:styleId="Index7" w:type="paragraph">
    <w:name w:val="index 7"/>
    <w:basedOn w:val="Normal"/>
    <w:next w:val="Normal"/>
    <w:autoRedefine/>
    <w:semiHidden/>
    <w:qFormat/>
    <w:pPr>
      <w:ind w:hanging="200" w:left="1400"/>
    </w:pPr>
    <w:rPr/>
  </w:style>
  <w:style w:styleId="Index8" w:type="paragraph">
    <w:name w:val="index 8"/>
    <w:basedOn w:val="Normal"/>
    <w:next w:val="Normal"/>
    <w:autoRedefine/>
    <w:semiHidden/>
    <w:qFormat/>
    <w:pPr>
      <w:ind w:hanging="200" w:left="1600"/>
    </w:pPr>
    <w:rPr/>
  </w:style>
  <w:style w:styleId="Index9" w:type="paragraph">
    <w:name w:val="index 9"/>
    <w:basedOn w:val="Normal"/>
    <w:next w:val="Normal"/>
    <w:autoRedefine/>
    <w:semiHidden/>
    <w:qFormat/>
    <w:pPr>
      <w:ind w:hanging="200" w:left="1800"/>
    </w:pPr>
    <w:rPr/>
  </w:style>
  <w:style w:styleId="Indexheading" w:type="paragraph">
    <w:name w:val="index heading"/>
    <w:basedOn w:val="Normal"/>
    <w:semiHidden/>
    <w:qFormat/>
    <w:pPr/>
    <w:rPr>
      <w:rFonts w:ascii="Arial" w:cs="Arial" w:hAnsi="Arial"/>
      <w:b/>
      <w:bCs/>
    </w:rPr>
  </w:style>
  <w:style w:styleId="List2" w:type="paragraph">
    <w:name w:val="List Bullet 3"/>
    <w:basedOn w:val="Normal"/>
    <w:semiHidden/>
    <w:pPr>
      <w:ind w:hanging="360" w:left="720"/>
    </w:pPr>
    <w:rPr/>
  </w:style>
  <w:style w:styleId="List3" w:type="paragraph">
    <w:name w:val="List Bullet 4"/>
    <w:basedOn w:val="Normal"/>
    <w:semiHidden/>
    <w:pPr>
      <w:ind w:hanging="360" w:left="1080"/>
    </w:pPr>
    <w:rPr/>
  </w:style>
  <w:style w:styleId="List4" w:type="paragraph">
    <w:name w:val="List Bullet 5"/>
    <w:basedOn w:val="Normal"/>
    <w:semiHidden/>
    <w:pPr>
      <w:ind w:hanging="360" w:left="1440"/>
    </w:pPr>
    <w:rPr/>
  </w:style>
  <w:style w:styleId="List5" w:type="paragraph">
    <w:name w:val="List Number"/>
    <w:basedOn w:val="Normal"/>
    <w:semiHidden/>
    <w:pPr>
      <w:ind w:hanging="360" w:left="1800"/>
    </w:pPr>
    <w:rPr/>
  </w:style>
  <w:style w:styleId="ListBullet" w:type="paragraph">
    <w:name w:val="List Bullet"/>
    <w:basedOn w:val="Normal"/>
    <w:semiHidden/>
    <w:qFormat/>
    <w:pPr/>
    <w:rPr/>
  </w:style>
  <w:style w:styleId="ListBullet2" w:type="paragraph">
    <w:name w:val="List Bullet 2"/>
    <w:basedOn w:val="Normal"/>
    <w:semiHidden/>
    <w:qFormat/>
    <w:pPr/>
    <w:rPr/>
  </w:style>
  <w:style w:styleId="ListBullet3" w:type="paragraph">
    <w:name w:val="List Bullet 3"/>
    <w:basedOn w:val="Normal"/>
    <w:semiHidden/>
    <w:qFormat/>
    <w:pPr/>
    <w:rPr/>
  </w:style>
  <w:style w:styleId="ListBullet4" w:type="paragraph">
    <w:name w:val="List Bullet 4"/>
    <w:basedOn w:val="Normal"/>
    <w:semiHidden/>
    <w:qFormat/>
    <w:pPr/>
    <w:rPr/>
  </w:style>
  <w:style w:styleId="ListBullet5" w:type="paragraph">
    <w:name w:val="List Bullet 5"/>
    <w:basedOn w:val="Normal"/>
    <w:semiHidden/>
    <w:qFormat/>
    <w:pPr/>
    <w:rPr/>
  </w:style>
  <w:style w:styleId="ListContinue" w:type="paragraph">
    <w:name w:val="List Continue"/>
    <w:basedOn w:val="Normal"/>
    <w:semiHidden/>
    <w:qFormat/>
    <w:pPr>
      <w:spacing w:after="120" w:before="0"/>
      <w:ind w:hanging="0" w:left="360"/>
    </w:pPr>
    <w:rPr/>
  </w:style>
  <w:style w:styleId="ListContinue2" w:type="paragraph">
    <w:name w:val="List Continue 2"/>
    <w:basedOn w:val="Normal"/>
    <w:semiHidden/>
    <w:qFormat/>
    <w:pPr>
      <w:spacing w:after="120" w:before="0"/>
      <w:ind w:hanging="0" w:left="720"/>
    </w:pPr>
    <w:rPr/>
  </w:style>
  <w:style w:styleId="ListContinue3" w:type="paragraph">
    <w:name w:val="List Continue 3"/>
    <w:basedOn w:val="Normal"/>
    <w:semiHidden/>
    <w:qFormat/>
    <w:pPr>
      <w:spacing w:after="120" w:before="0"/>
      <w:ind w:hanging="0" w:left="1080"/>
    </w:pPr>
    <w:rPr/>
  </w:style>
  <w:style w:styleId="ListContinue4" w:type="paragraph">
    <w:name w:val="List Continue 4"/>
    <w:basedOn w:val="Normal"/>
    <w:semiHidden/>
    <w:qFormat/>
    <w:pPr>
      <w:spacing w:after="120" w:before="0"/>
      <w:ind w:hanging="0" w:left="1440"/>
    </w:pPr>
    <w:rPr/>
  </w:style>
  <w:style w:styleId="ListContinue5" w:type="paragraph">
    <w:name w:val="List Continue 5"/>
    <w:basedOn w:val="Normal"/>
    <w:semiHidden/>
    <w:qFormat/>
    <w:pPr>
      <w:spacing w:after="120" w:before="0"/>
      <w:ind w:hanging="0" w:left="1800"/>
    </w:pPr>
    <w:rPr/>
  </w:style>
  <w:style w:styleId="ListNumber" w:type="paragraph">
    <w:name w:val="List Number"/>
    <w:basedOn w:val="Normal"/>
    <w:semiHidden/>
    <w:qFormat/>
    <w:pPr/>
    <w:rPr/>
  </w:style>
  <w:style w:styleId="ListNumber2" w:type="paragraph">
    <w:name w:val="List Number 2"/>
    <w:basedOn w:val="Normal"/>
    <w:semiHidden/>
    <w:qFormat/>
    <w:pPr/>
    <w:rPr/>
  </w:style>
  <w:style w:styleId="ListNumber3" w:type="paragraph">
    <w:name w:val="List Number 3"/>
    <w:basedOn w:val="Normal"/>
    <w:semiHidden/>
    <w:qFormat/>
    <w:pPr/>
    <w:rPr/>
  </w:style>
  <w:style w:styleId="ListNumber4" w:type="paragraph">
    <w:name w:val="List Number 4"/>
    <w:basedOn w:val="Normal"/>
    <w:semiHidden/>
    <w:qFormat/>
    <w:pPr/>
    <w:rPr/>
  </w:style>
  <w:style w:styleId="ListNumber5" w:type="paragraph">
    <w:name w:val="List Number 5"/>
    <w:basedOn w:val="Normal"/>
    <w:semiHidden/>
    <w:qFormat/>
    <w:pPr/>
    <w:rPr/>
  </w:style>
  <w:style w:styleId="Macro" w:type="paragraph">
    <w:name w:val="macro"/>
    <w:semiHidden/>
    <w:qFormat/>
    <w:pPr>
      <w:widowControl/>
      <w:tabs>
        <w:tab w:leader="none" w:pos="480" w:val="left"/>
        <w:tab w:leader="none" w:pos="960" w:val="left"/>
        <w:tab w:leader="none" w:pos="1440" w:val="left"/>
        <w:tab w:leader="none" w:pos="1920" w:val="left"/>
        <w:tab w:leader="none" w:pos="2400" w:val="left"/>
        <w:tab w:leader="none" w:pos="2880" w:val="left"/>
        <w:tab w:leader="none" w:pos="3360" w:val="left"/>
        <w:tab w:leader="none" w:pos="3840" w:val="left"/>
        <w:tab w:leader="none" w:pos="4320" w:val="left"/>
      </w:tabs>
      <w:bidi w:val="0"/>
      <w:jc w:val="left"/>
    </w:pPr>
    <w:rPr>
      <w:rFonts w:ascii="Courier New" w:cs="Courier New" w:eastAsia="Times New Roman" w:hAnsi="Courier New"/>
      <w:color w:val="auto"/>
      <w:sz w:val="20"/>
      <w:szCs w:val="20"/>
      <w:lang w:bidi="he-IL" w:eastAsia="he-IL" w:val="en-US"/>
    </w:rPr>
  </w:style>
  <w:style w:styleId="MessageHeader" w:type="paragraph">
    <w:name w:val="Message Header"/>
    <w:basedOn w:val="Normal"/>
    <w:semiHidden/>
    <w:qFormat/>
    <w:pPr>
      <w:pBdr>
        <w:top w:color="00000A" w:space="1" w:sz="6" w:val="single"/>
        <w:left w:color="00000A" w:space="1" w:sz="6" w:val="single"/>
        <w:bottom w:color="00000A" w:space="1" w:sz="6" w:val="single"/>
        <w:right w:color="00000A" w:space="1" w:sz="6" w:val="single"/>
      </w:pBdr>
      <w:shd w:color="auto" w:fill="auto" w:val="pct20"/>
      <w:ind w:hanging="1080" w:left="1080"/>
    </w:pPr>
    <w:rPr>
      <w:rFonts w:ascii="Arial" w:cs="Arial" w:hAnsi="Arial"/>
      <w:sz w:val="24"/>
      <w:szCs w:val="24"/>
    </w:rPr>
  </w:style>
  <w:style w:styleId="NormalIndent" w:type="paragraph">
    <w:name w:val="Normal Indent"/>
    <w:basedOn w:val="Normal"/>
    <w:semiHidden/>
    <w:qFormat/>
    <w:pPr>
      <w:ind w:hanging="0" w:left="720"/>
    </w:pPr>
    <w:rPr/>
  </w:style>
  <w:style w:styleId="NoteHeading" w:type="paragraph">
    <w:name w:val="Note Heading"/>
    <w:basedOn w:val="Normal"/>
    <w:next w:val="Normal"/>
    <w:semiHidden/>
    <w:qFormat/>
    <w:pPr/>
    <w:rPr/>
  </w:style>
  <w:style w:styleId="ComplimentaryClose" w:type="paragraph">
    <w:name w:val="Salutation"/>
    <w:basedOn w:val="Normal"/>
    <w:next w:val="Normal"/>
    <w:semiHidden/>
    <w:pPr/>
    <w:rPr/>
  </w:style>
  <w:style w:styleId="Signature" w:type="paragraph">
    <w:name w:val="Signature"/>
    <w:basedOn w:val="Normal"/>
    <w:semiHidden/>
    <w:pPr>
      <w:ind w:hanging="0" w:left="4320"/>
    </w:pPr>
    <w:rPr/>
  </w:style>
  <w:style w:styleId="Subtitle" w:type="paragraph">
    <w:name w:val="Subtitle"/>
    <w:basedOn w:val="Normal"/>
    <w:qFormat/>
    <w:pPr>
      <w:spacing w:after="60" w:before="0"/>
      <w:jc w:val="center"/>
      <w:outlineLvl w:val="1"/>
    </w:pPr>
    <w:rPr>
      <w:b/>
      <w:bCs/>
      <w:sz w:val="28"/>
      <w:szCs w:val="28"/>
    </w:rPr>
  </w:style>
  <w:style w:customStyle="1" w:styleId="LeadQuote" w:type="paragraph">
    <w:name w:val="LeadQuote"/>
    <w:basedOn w:val="TextBody"/>
    <w:qFormat/>
    <w:pPr>
      <w:ind w:hanging="0" w:left="2160"/>
    </w:pPr>
    <w:rPr/>
  </w:style>
  <w:style w:customStyle="1" w:styleId="LeadReference" w:type="paragraph">
    <w:name w:val="LeadReference"/>
    <w:basedOn w:val="LeadQuote"/>
    <w:next w:val="TextBody"/>
    <w:qFormat/>
    <w:pPr>
      <w:spacing w:after="0" w:before="0"/>
      <w:jc w:val="right"/>
    </w:pPr>
    <w:rPr>
      <w:i/>
    </w:rPr>
  </w:style>
  <w:style w:customStyle="1" w:styleId="Style11" w:type="paragraph">
    <w:name w:val="Style1"/>
    <w:basedOn w:val="Normal"/>
    <w:next w:val="TextBody"/>
    <w:autoRedefine/>
    <w:qFormat/>
    <w:pPr/>
    <w:rPr/>
  </w:style>
  <w:style w:customStyle="1" w:styleId="1stpage12" w:type="paragraph">
    <w:name w:val="1st page 12"/>
    <w:basedOn w:val="Normal"/>
    <w:qFormat/>
    <w:pPr>
      <w:widowControl w:val="false"/>
      <w:tabs>
        <w:tab w:leader="none" w:pos="4320" w:val="center"/>
      </w:tabs>
      <w:jc w:val="center"/>
    </w:pPr>
    <w:rPr>
      <w:rFonts w:ascii="Arial" w:hAnsi="Arial"/>
      <w:sz w:val="24"/>
      <w:szCs w:val="28"/>
    </w:rPr>
  </w:style>
  <w:style w:customStyle="1" w:styleId="AuthorDate" w:type="paragraph">
    <w:name w:val="AuthorDate"/>
    <w:basedOn w:val="Normal"/>
    <w:qFormat/>
    <w:pPr>
      <w:widowControl w:val="false"/>
      <w:tabs>
        <w:tab w:leader="none" w:pos="4320" w:val="center"/>
      </w:tabs>
      <w:jc w:val="center"/>
    </w:pPr>
    <w:rPr>
      <w:rFonts w:ascii="Arial" w:hAnsi="Arial"/>
      <w:b/>
      <w:bCs/>
      <w:sz w:val="28"/>
      <w:szCs w:val="28"/>
    </w:rPr>
  </w:style>
  <w:style w:customStyle="1" w:styleId="Heading1st" w:type="paragraph">
    <w:name w:val="Heading 1st"/>
    <w:basedOn w:val="Normal"/>
    <w:qFormat/>
    <w:pPr>
      <w:widowControl w:val="false"/>
      <w:tabs>
        <w:tab w:leader="none" w:pos="4320" w:val="center"/>
      </w:tabs>
      <w:jc w:val="center"/>
    </w:pPr>
    <w:rPr>
      <w:rFonts w:ascii="Arial" w:hAnsi="Arial"/>
      <w:sz w:val="28"/>
      <w:szCs w:val="24"/>
    </w:rPr>
  </w:style>
  <w:style w:customStyle="1" w:styleId="StyleAuthorNote10ptItalicBlue" w:type="paragraph">
    <w:name w:val="Style AuthorNote + 10 pt Italic Blue"/>
    <w:basedOn w:val="AuthorNote"/>
    <w:qFormat/>
    <w:pPr/>
    <w:rPr>
      <w:rFonts w:cs="Arial" w:eastAsia="Arial Unicode MS"/>
      <w:i/>
      <w:iCs/>
      <w:color w:val="0000FF"/>
      <w:szCs w:val="20"/>
    </w:rPr>
  </w:style>
  <w:style w:customStyle="1" w:styleId="StyleStyleAuthorNote9ptItalicBlueLeft" w:type="paragraph">
    <w:name w:val="Style Style AuthorNote + 9 pt Italic Blue + Left"/>
    <w:basedOn w:val="StyleAuthorNote10ptItalicBlue"/>
    <w:qFormat/>
    <w:pPr>
      <w:jc w:val="left"/>
    </w:pPr>
    <w:rPr/>
  </w:style>
  <w:style w:customStyle="1" w:styleId="StyleHeading2Underline" w:type="paragraph">
    <w:name w:val="Style Heading 2 + Underline"/>
    <w:basedOn w:val="Heading2"/>
    <w:qFormat/>
    <w:pPr>
      <w:numPr>
        <w:ilvl w:val="0"/>
        <w:numId w:val="0"/>
      </w:numPr>
      <w:ind w:hanging="0" w:right="576"/>
    </w:pPr>
    <w:rPr>
      <w:u w:val="single"/>
    </w:rPr>
  </w:style>
  <w:style w:customStyle="1" w:styleId="TRHeaders" w:type="paragraph">
    <w:name w:val="TR Headers"/>
    <w:basedOn w:val="AuthorDate"/>
    <w:qFormat/>
    <w:pPr/>
    <w:rPr>
      <w:rFonts w:ascii="Times New Roman" w:hAnsi="Times New Roman"/>
    </w:rPr>
  </w:style>
  <w:style w:styleId="FrameContents" w:type="paragraph">
    <w:name w:val="Frame Contents"/>
    <w:basedOn w:val="Normal"/>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2" Target="footer1.xml" Type="http://schemas.openxmlformats.org/officeDocument/2006/relationships/footer" /><Relationship Id="rId3" Target="header1.xml" Type="http://schemas.openxmlformats.org/officeDocument/2006/relationships/header" /><Relationship Id="rId4" Target="footer2.xml" Type="http://schemas.openxmlformats.org/officeDocument/2006/relationships/footer" /><Relationship Id="rId5" Target="header2.xml" Type="http://schemas.openxmlformats.org/officeDocument/2006/relationships/header" /><Relationship Id="rId6" Target="footer3.xml" Type="http://schemas.openxmlformats.org/officeDocument/2006/relationships/footer" /><Relationship Id="rId7" Target="header3.xml" Type="http://schemas.openxmlformats.org/officeDocument/2006/relationships/header" /><Relationship Id="rId8" Target="footer4.xml" Type="http://schemas.openxmlformats.org/officeDocument/2006/relationships/footer" /><Relationship Id="rId13" Target="header4.xml" Type="http://schemas.openxmlformats.org/officeDocument/2006/relationships/header" /><Relationship Id="rId14" Target="footer5.xml" Type="http://schemas.openxmlformats.org/officeDocument/2006/relationships/footer" /><Relationship Id="rId19" Target="media/image1.wmf" Type="http://schemas.openxmlformats.org/officeDocument/2006/relationships/image" /><Relationship Id="rId20" Target="media/image2.wmf" Type="http://schemas.openxmlformats.org/officeDocument/2006/relationships/image" /><Relationship Id="rId21" Target="header5.xml" Type="http://schemas.openxmlformats.org/officeDocument/2006/relationships/header" /><Relationship Id="rId22" Target="footer6.xml" Type="http://schemas.openxmlformats.org/officeDocument/2006/relationships/footer" /><Relationship Type="http://schemas.openxmlformats.org/officeDocument/2006/relationships/image" Id="rId65" Target="media/rId65.png" /><Relationship Type="http://schemas.openxmlformats.org/officeDocument/2006/relationships/image" Id="rId59" Target="media/rId59.png" /><Relationship Type="http://schemas.openxmlformats.org/officeDocument/2006/relationships/image" Id="rId43" Target="media/rId43.png" /><Relationship Type="http://schemas.openxmlformats.org/officeDocument/2006/relationships/image" Id="rId36" Target="media/rId36.png" /><Relationship Type="http://schemas.openxmlformats.org/officeDocument/2006/relationships/image" Id="rId62" Target="media/rId62.png" /><Relationship Type="http://schemas.openxmlformats.org/officeDocument/2006/relationships/image" Id="rId56" Target="media/rId56.png" /><Relationship Type="http://schemas.openxmlformats.org/officeDocument/2006/relationships/hyperlink" Id="rId52" Target="https://arxiv.org/abs/2006.14498" TargetMode="External" /><Relationship Type="http://schemas.openxmlformats.org/officeDocument/2006/relationships/hyperlink" Id="rId50" Target="https://arxiv.org/abs/2203.01664" TargetMode="External" /><Relationship Type="http://schemas.openxmlformats.org/officeDocument/2006/relationships/hyperlink" Id="rId54" Target="https://arxiv.org/pdf/2509.26280" TargetMode="External" /><Relationship Type="http://schemas.openxmlformats.org/officeDocument/2006/relationships/hyperlink" Id="rId53" Target="https://papers.ssrn.com/sol3/papers.cfm?abstract_id=5284313" TargetMode="External" /><Relationship Type="http://schemas.openxmlformats.org/officeDocument/2006/relationships/hyperlink" Id="rId51" Target="https://www.federalreserve.gov/econresdata/feds/2015/files/2015051pap.pdf" TargetMode="External" /></Relationships>
</file>

<file path=word/_rels/footnotes.xml.rels><?xml version="1.0" encoding="UTF-8"?><Relationships xmlns="http://schemas.openxmlformats.org/package/2006/relationships"><Relationship Type="http://schemas.openxmlformats.org/officeDocument/2006/relationships/hyperlink" Id="rId52" Target="https://arxiv.org/abs/2006.14498" TargetMode="External" /><Relationship Type="http://schemas.openxmlformats.org/officeDocument/2006/relationships/hyperlink" Id="rId50" Target="https://arxiv.org/abs/2203.01664" TargetMode="External" /><Relationship Type="http://schemas.openxmlformats.org/officeDocument/2006/relationships/hyperlink" Id="rId54" Target="https://arxiv.org/pdf/2509.26280" TargetMode="External" /><Relationship Type="http://schemas.openxmlformats.org/officeDocument/2006/relationships/hyperlink" Id="rId53" Target="https://papers.ssrn.com/sol3/papers.cfm?abstract_id=5284313" TargetMode="External" /><Relationship Type="http://schemas.openxmlformats.org/officeDocument/2006/relationships/hyperlink" Id="rId51" Target="https://www.federalreserve.gov/econresdata/feds/2015/files/2015051pa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LibreOffice/5.3.6.1$Linux_X86_64 LibreOffice_project/30$Build-1</Application>
  <Pages>21</Pages>
  <Words>3277</Words>
  <Characters>18431</Characters>
  <CharactersWithSpaces>21970</CharactersWithSpaces>
  <Paragraphs>164</Paragraphs>
  <Company>Department of Computer Science, University of Liverpool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Modeling High Dimensional Joint Dependency</dc:title>
  <dc:creator>Author: Sergii Arkhypov, Supervisor: Dr Alessandro Provetti</dc:creator>
  <cp:keywords/>
  <dcterms:created xsi:type="dcterms:W3CDTF">2026-04-21T22:44:31Z</dcterms:created>
  <dcterms:modified xsi:type="dcterms:W3CDTF">2026-04-21T22:44:31Z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xxx to populate xxx</vt:lpwstr>
  </property>
  <property fmtid="{D5CDD505-2E9C-101B-9397-08002B2CF9AE}" pid="3" name="date">
    <vt:lpwstr>30 September 2026. Word count: XXX</vt:lpwstr>
  </property>
  <property fmtid="{D5CDD505-2E9C-101B-9397-08002B2CF9AE}" pid="4" name="numbersections">
    <vt:lpwstr>True</vt:lpwstr>
  </property>
  <property fmtid="{D5CDD505-2E9C-101B-9397-08002B2CF9AE}" pid="5" name="subtitle">
    <vt:lpwstr>MSc Data Analytics and AI. School of Computing and Mathematical Sciences. Birkbeck, University of London</vt:lpwstr>
  </property>
  <property fmtid="{D5CDD505-2E9C-101B-9397-08002B2CF9AE}" pid="6" name="toc">
    <vt:lpwstr>True</vt:lpwstr>
  </property>
</Properties>
</file>