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7.png" ContentType="image/png"/>
  <Override PartName="/word/media/rId2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Author"/>
      </w:pPr>
      <w:r>
        <w:t xml:space="preserve">Sergii Arkhypov</w:t>
      </w:r>
    </w:p>
    <w:p>
      <w:pPr>
        <w:pStyle w:val="Date"/>
      </w:pPr>
      <w:r>
        <w:t xml:space="preserve">30 September 2026</w:t>
      </w:r>
    </w:p>
    <w:bookmarkStart w:id="9" w:name="abstract"/>
    <w:p>
      <w:pPr>
        <w:pStyle w:val="Heading1"/>
      </w:pPr>
      <w:r>
        <w:t xml:space="preserve">Abstract</w:t>
      </w:r>
    </w:p>
    <w:bookmarkEnd w:id="9"/>
    <w:bookmarkStart w:id="10" w:name="kernel"/>
    <w:p>
      <w:pPr>
        <w:pStyle w:val="Heading1"/>
      </w:pPr>
      <w:r>
        <w:t xml:space="preserve">Kernel</w:t>
      </w:r>
    </w:p>
    <w:p>
      <w:pPr>
        <w:pStyle w:val="FirstParagraph"/>
      </w:pPr>
      <w:r>
        <w:t xml:space="preserve">Despite the popularity of ML/AI algorithms in finance, they have mainly been used for either one or a small number of random factors. Nevertheless, joint analytics of high dimensionality (e.g., &gt;1000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The main aim of this work would be to develop a machine learning algorithm for calibrating a high-dimensional copula with tail dependence different from Gaussian, while still reflecting the observed history with regards to selected measures (i.e., matching correlation matrix, matching pairwise tail dependence at the specific percentile, etc.). The latter is expected to require the creation of a custom loss function to achieve minimization with regards to those measures. On the simulation part, a range of different approaches can be considered, starting from semi-analytical methods to Variational Autoencoders (VAEs) and Generative Adversarial Networks (GANs).</w:t>
      </w:r>
    </w:p>
    <w:bookmarkEnd w:id="10"/>
    <w:bookmarkStart w:id="28" w:name="theory"/>
    <w:p>
      <w:pPr>
        <w:pStyle w:val="Heading1"/>
      </w:pPr>
      <w:r>
        <w:t xml:space="preserve">… theory</w:t>
      </w:r>
    </w:p>
    <w:bookmarkStart w:id="11" w:name="copulas"/>
    <w:p>
      <w:pPr>
        <w:pStyle w:val="Heading2"/>
      </w:pPr>
      <w:r>
        <w:t xml:space="preserve">Copulas</w:t>
      </w:r>
    </w:p>
    <w:p>
      <w:pPr>
        <w:pStyle w:val="FirstParagraph"/>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r>
          <m:t>w</m:t>
        </m:r>
        <m:r>
          <m:t>i</m:t>
        </m:r>
        <m:r>
          <m:t>t</m:t>
        </m:r>
        <m:r>
          <m:t>h</m:t>
        </m:r>
        <m:r>
          <m:t>u</m:t>
        </m:r>
        <m:r>
          <m:t>n</m:t>
        </m:r>
        <m:r>
          <m:t>i</m:t>
        </m:r>
        <m:r>
          <m:t>f</m:t>
        </m:r>
        <m:r>
          <m:t>o</m:t>
        </m:r>
        <m:r>
          <m:t>r</m:t>
        </m:r>
        <m:r>
          <m:t>m</m:t>
        </m:r>
        <m:r>
          <m:t>m</m:t>
        </m:r>
        <m:r>
          <m:t>a</m:t>
        </m:r>
        <m:r>
          <m:t>r</m:t>
        </m:r>
        <m:r>
          <m:t>g</m:t>
        </m:r>
        <m:r>
          <m:t>i</m:t>
        </m:r>
        <m:r>
          <m:t>n</m:t>
        </m:r>
        <m:r>
          <m:t>a</m:t>
        </m:r>
        <m:r>
          <m:t>l</m:t>
        </m:r>
        <m:r>
          <m:t>s</m:t>
        </m:r>
      </m:oMath>
    </w:p>
    <w:bookmarkEnd w:id="11"/>
    <w:bookmarkStart w:id="13" w:name="sklars-theorem"/>
    <w:p>
      <w:pPr>
        <w:pStyle w:val="Heading2"/>
      </w:pPr>
      <w:r>
        <w:t xml:space="preserve">Sklar’s theorem</w:t>
      </w:r>
    </w:p>
    <w:p>
      <w:pPr>
        <w:pStyle w:val="FirstParagraph"/>
      </w:pPr>
      <w:r>
        <w:t xml:space="preserve">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2"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2"/>
    </w:p>
    <w:bookmarkEnd w:id="13"/>
    <w:bookmarkStart w:id="20" w:name="gaussian-copula"/>
    <w:p>
      <w:pPr>
        <w:pStyle w:val="Heading2"/>
      </w:pPr>
      <w:r>
        <w:t xml:space="preserve">Gaussian copula</w:t>
      </w:r>
    </w:p>
    <w:p>
      <w:pPr>
        <w:pStyle w:val="CaptionedFigure"/>
      </w:pPr>
      <w:r>
        <w:drawing>
          <wp:inline>
            <wp:extent cx="5334000" cy="4000499"/>
            <wp:effectExtent b="0" l="0" r="0" t="0"/>
            <wp:docPr descr="Figure 1: Uniform scenarios Gaussian_copula, numerical simulation" title="" id="15" name="Picture"/>
            <a:graphic>
              <a:graphicData uri="http://schemas.openxmlformats.org/drawingml/2006/picture">
                <pic:pic>
                  <pic:nvPicPr>
                    <pic:cNvPr descr="figures\Uniform_scenarios_Gaussian_copula_(numerical_simulation).png" id="16" name="Picture"/>
                    <pic:cNvPicPr>
                      <a:picLocks noChangeArrowheads="1" noChangeAspect="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334000" cy="4000499"/>
            <wp:effectExtent b="0" l="0" r="0" t="0"/>
            <wp:docPr descr="Figure 2: Contour plot Gaussian copula, numerical simulation" title="" id="18" name="Picture"/>
            <a:graphic>
              <a:graphicData uri="http://schemas.openxmlformats.org/drawingml/2006/picture">
                <pic:pic>
                  <pic:nvPicPr>
                    <pic:cNvPr descr="figures\Contour_plot_Gaussian_copula_(numerical_simulation).png" id="19" name="Picture"/>
                    <pic:cNvPicPr>
                      <a:picLocks noChangeArrowheads="1" noChangeAspect="1"/>
                    </pic:cNvPicPr>
                  </pic:nvPicPr>
                  <pic:blipFill>
                    <a:blip r:embed="rId17"/>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bookmarkEnd w:id="20"/>
    <w:bookmarkStart w:id="27" w:name="cauchy-copula"/>
    <w:p>
      <w:pPr>
        <w:pStyle w:val="Heading2"/>
      </w:pPr>
      <w:r>
        <w:t xml:space="preserve">Cauchy copula</w:t>
      </w:r>
    </w:p>
    <w:p>
      <w:pPr>
        <w:pStyle w:val="CaptionedFigure"/>
      </w:pPr>
      <w:r>
        <w:drawing>
          <wp:inline>
            <wp:extent cx="5334000" cy="4000499"/>
            <wp:effectExtent b="0" l="0" r="0" t="0"/>
            <wp:docPr descr="Figure 3: Uniform scenarios Cauchy copula, numerical simulation" title="" id="22" name="Picture"/>
            <a:graphic>
              <a:graphicData uri="http://schemas.openxmlformats.org/drawingml/2006/picture">
                <pic:pic>
                  <pic:nvPicPr>
                    <pic:cNvPr descr="figures\Uniform_scenarios_Cauchy_copula_(numerical_simulation).png" id="23" name="Picture"/>
                    <pic:cNvPicPr>
                      <a:picLocks noChangeArrowheads="1" noChangeAspect="1"/>
                    </pic:cNvPicPr>
                  </pic:nvPicPr>
                  <pic:blipFill>
                    <a:blip r:embed="rId21"/>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334000" cy="4000499"/>
            <wp:effectExtent b="0" l="0" r="0" t="0"/>
            <wp:docPr descr="Figure 4: Contour plot Cauchy copula, numerical simulation" title="" id="25" name="Picture"/>
            <a:graphic>
              <a:graphicData uri="http://schemas.openxmlformats.org/drawingml/2006/picture">
                <pic:pic>
                  <pic:nvPicPr>
                    <pic:cNvPr descr="figures\Contour_plot_Cauchy_copula_(numerical_simulation).png" id="26" name="Picture"/>
                    <pic:cNvPicPr>
                      <a:picLocks noChangeArrowheads="1" noChangeAspect="1"/>
                    </pic:cNvPicPr>
                  </pic:nvPicPr>
                  <pic:blipFill>
                    <a:blip r:embed="rId24"/>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27"/>
    <w:bookmarkEnd w:id="28"/>
    <w:bookmarkStart w:id="37" w:name="literature"/>
    <w:p>
      <w:pPr>
        <w:pStyle w:val="Heading1"/>
      </w:pPr>
      <w:r>
        <w:t xml:space="preserve">Literature</w:t>
      </w:r>
    </w:p>
    <w:p>
      <w:pPr>
        <w:pStyle w:val="Compact"/>
        <w:numPr>
          <w:ilvl w:val="0"/>
          <w:numId w:val="1001"/>
        </w:numPr>
      </w:pPr>
      <w:r>
        <w:t xml:space="preserve">D.Oh, A.Patton (2015). Modelling dependance in High dimensions with factor copulas.</w:t>
      </w:r>
      <w:r>
        <w:t xml:space="preserve"> </w:t>
      </w:r>
      <w:hyperlink r:id="rId29">
        <w:r>
          <w:rPr>
            <w:rStyle w:val="Hyperlink"/>
          </w:rPr>
          <w:t xml:space="preserve">(link)</w:t>
        </w:r>
      </w:hyperlink>
    </w:p>
    <w:p>
      <w:pPr>
        <w:pStyle w:val="Compact"/>
        <w:numPr>
          <w:ilvl w:val="0"/>
          <w:numId w:val="1001"/>
        </w:numPr>
      </w:pPr>
      <w:r>
        <w:t xml:space="preserve">R.Cont et al. (2022). Tail-GAN: Nonparametric scenario generation for tail risk estimation.</w:t>
      </w:r>
      <w:r>
        <w:t xml:space="preserve"> </w:t>
      </w:r>
      <w:hyperlink r:id="rId30">
        <w:r>
          <w:rPr>
            <w:rStyle w:val="Hyperlink"/>
          </w:rPr>
          <w:t xml:space="preserve">(link)</w:t>
        </w:r>
      </w:hyperlink>
    </w:p>
    <w:p>
      <w:pPr>
        <w:pStyle w:val="Compact"/>
        <w:numPr>
          <w:ilvl w:val="0"/>
          <w:numId w:val="1001"/>
        </w:numPr>
      </w:pPr>
      <w:r>
        <w:t xml:space="preserve">H.Buhler, B.Horvath (2021). A data-driven market simulator for small data environments.</w:t>
      </w:r>
      <w:r>
        <w:t xml:space="preserve"> </w:t>
      </w:r>
      <w:hyperlink r:id="rId31">
        <w:r>
          <w:rPr>
            <w:rStyle w:val="Hyperlink"/>
          </w:rPr>
          <w:t xml:space="preserve">(link)</w:t>
        </w:r>
      </w:hyperlink>
    </w:p>
    <w:p>
      <w:pPr>
        <w:pStyle w:val="Compact"/>
        <w:numPr>
          <w:ilvl w:val="0"/>
          <w:numId w:val="1001"/>
        </w:numPr>
      </w:pPr>
      <w:r>
        <w:t xml:space="preserve">M.Vuletic, R.Cont (2025). VolGAN: a generative model for arbitrage-free implied volatility surfaces.</w:t>
      </w:r>
      <w:hyperlink r:id="rId32">
        <w:r>
          <w:rPr>
            <w:rStyle w:val="Hyperlink"/>
          </w:rPr>
          <w:t xml:space="preserve">(link)</w:t>
        </w:r>
      </w:hyperlink>
    </w:p>
    <w:p>
      <w:pPr>
        <w:pStyle w:val="Compact"/>
        <w:numPr>
          <w:ilvl w:val="0"/>
          <w:numId w:val="1001"/>
        </w:numPr>
      </w:pPr>
      <w:r>
        <w:t xml:space="preserve">B.Horvath et al. (2025). Generative Models in Finance: Market Generators, a Paradigm Shift in Financial Modeling.</w:t>
      </w:r>
      <w:hyperlink r:id="rId33">
        <w:r>
          <w:rPr>
            <w:rStyle w:val="Hyperlink"/>
          </w:rPr>
          <w:t xml:space="preserve">(link)</w:t>
        </w:r>
      </w:hyperlink>
    </w:p>
    <w:p>
      <w:pPr>
        <w:pStyle w:val="Compact"/>
        <w:numPr>
          <w:ilvl w:val="0"/>
          <w:numId w:val="1001"/>
        </w:numPr>
      </w:pPr>
      <w:r>
        <w:t xml:space="preserve">M.Vuletic, M.Cucuringu (2025). GraFiN-Gen: graph-based ensemble generative modelling for multi-asset forecasting.</w:t>
      </w:r>
      <w:r>
        <w:t xml:space="preserve"> </w:t>
      </w:r>
      <w:hyperlink r:id="rId34">
        <w:r>
          <w:rPr>
            <w:rStyle w:val="Hyperlink"/>
          </w:rPr>
          <w:t xml:space="preserve">(link)</w:t>
        </w:r>
      </w:hyperlink>
    </w:p>
    <w:p>
      <w:pPr>
        <w:pStyle w:val="Compact"/>
        <w:numPr>
          <w:ilvl w:val="0"/>
          <w:numId w:val="1001"/>
        </w:numPr>
      </w:pPr>
      <w:r>
        <w:t xml:space="preserve">A.Sancetta, S.Satchell (2004). The Bernstein Copula and Its Applications to Modeling and Approximations of Multivariate Distributions.</w:t>
      </w:r>
      <w:r>
        <w:t xml:space="preserve"> </w:t>
      </w:r>
      <w:hyperlink r:id="rId35">
        <w:r>
          <w:rPr>
            <w:rStyle w:val="Hyperlink"/>
          </w:rPr>
          <w:t xml:space="preserve">(link)</w:t>
        </w:r>
      </w:hyperlink>
    </w:p>
    <w:p>
      <w:pPr>
        <w:pStyle w:val="Compact"/>
        <w:numPr>
          <w:ilvl w:val="0"/>
          <w:numId w:val="1001"/>
        </w:numPr>
      </w:pPr>
      <w:r>
        <w:t xml:space="preserve">M.Wiese et al. Multi-Asset Spot and Option Market Simulation.</w:t>
      </w:r>
      <w:r>
        <w:t xml:space="preserve"> </w:t>
      </w:r>
      <w:hyperlink r:id="rId36">
        <w:r>
          <w:rPr>
            <w:rStyle w:val="Hyperlink"/>
          </w:rPr>
          <w:t xml:space="preserve">(link)</w:t>
        </w:r>
      </w:hyperlink>
      <w:r>
        <w:t xml:space="preserve"> </w:t>
      </w:r>
      <w:r>
        <w:t xml:space="preserve">#TODO: to read! i.e.e Buhler</w:t>
      </w:r>
    </w:p>
    <w:bookmarkEnd w:id="37"/>
    <w:bookmarkStart w:id="38" w:name="appendix"/>
    <w:p>
      <w:pPr>
        <w:pStyle w:val="Heading1"/>
      </w:pPr>
      <w:r>
        <w:t xml:space="preserve">Appendix</w:t>
      </w:r>
    </w:p>
    <w:p>
      <w:pPr>
        <w:pStyle w:val="FirstParagraph"/>
      </w:pPr>
      <w:r>
        <w:t xml:space="preserve">See corresponding equation</w:t>
      </w:r>
      <w:r>
        <w:t xml:space="preserve"> </w:t>
      </w:r>
      <w:hyperlink w:anchor="eq1">
        <w:r>
          <w:rPr>
            <w:rStyle w:val="Hyperlink"/>
          </w:rPr>
          <w:t xml:space="preserve">(Eq.1)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14" Target="media/rId14.png" /><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_rels/footnotes.xml.rels><?xml version="1.0" encoding="UTF-8"?><Relationships xmlns="http://schemas.openxmlformats.org/package/2006/relationships"><Relationship Type="http://schemas.openxmlformats.org/officeDocument/2006/relationships/hyperlink" Id="rId31" Target="https://arxiv.org/abs/2006.14498" TargetMode="External" /><Relationship Type="http://schemas.openxmlformats.org/officeDocument/2006/relationships/hyperlink" Id="rId30" Target="https://arxiv.org/abs/2203.01664" TargetMode="External" /><Relationship Type="http://schemas.openxmlformats.org/officeDocument/2006/relationships/hyperlink" Id="rId36" Target="https://papers.ssrn.com/sol3/papers.cfm?abstract_id=3980817" TargetMode="External" /><Relationship Type="http://schemas.openxmlformats.org/officeDocument/2006/relationships/hyperlink" Id="rId32" Target="https://papers.ssrn.com/sol3/papers.cfm?abstract_id=4617536" TargetMode="External" /><Relationship Type="http://schemas.openxmlformats.org/officeDocument/2006/relationships/hyperlink" Id="rId33" Target="https://papers.ssrn.com/sol3/papers.cfm?abstract_id=5284313" TargetMode="External" /><Relationship Type="http://schemas.openxmlformats.org/officeDocument/2006/relationships/hyperlink" Id="rId34" Target="https://papers.ssrn.com/sol3/papers.cfm?abstract_id=5317725" TargetMode="External" /><Relationship Type="http://schemas.openxmlformats.org/officeDocument/2006/relationships/hyperlink" Id="rId29" Target="https://www.federalreserve.gov/econresdata/feds/2015/files/2015051pap.pdf" TargetMode="External" /><Relationship Type="http://schemas.openxmlformats.org/officeDocument/2006/relationships/hyperlink" Id="rId35" Target="https://www.jstor.org/stable/pdf/353353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Sergii Arkhypov</dc:creator>
  <cp:keywords/>
  <dcterms:created xsi:type="dcterms:W3CDTF">2026-08-05T23:10:35Z</dcterms:created>
  <dcterms:modified xsi:type="dcterms:W3CDTF">2026-08-05T23:10:35Z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30 September 2026</vt:lpwstr>
  </property>
</Properties>
</file>