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109.png" ContentType="image/png"/>
  <Override PartName="/word/media/rId115.png" ContentType="image/png"/>
  <Override PartName="/word/media/rId106.png" ContentType="image/png"/>
  <Override PartName="/word/media/rId59.png" ContentType="image/png"/>
  <Override PartName="/word/media/rId112.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9430. Git: https://github.com/SergioArkhypov/MLCopula</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Figure 5),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c0b87fe1018f3f3e2fbbcf8424086cb4c49fba">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optimization across both the weight and skewness parameters proved unstable. To ensure robust and reliable convergence, the methodology was refined into a systematic one-dimensional optimization strategy. Under this approach, the copula weight was dynamically optimized while the skewness parameter was strictly discretized,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optimization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optimization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optimization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visualization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optimization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optimization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p>
      <w:pPr>
        <w:pStyle w:val="BodyText"/>
      </w:pPr>
      <w:r>
        <w:t xml:space="preserve">While the proposed framework could successfully captures complex joint dependencies, the empirical evaluation within this study relies on several structural simplifications that warrant critical acknowledgment. The current implementation maps the simulated uniform copula outputs to empirical marginal distributions utilising a standard log-normal assumption for equity returns. Although the skewed Cauchy component could inject heavy-tailed dependence and structural asymmetry into the joint distribution, forcing the individual marginals into a log-normal framework inherently restricts the severity of idiosyncratic shocks. Future iterations could seamlessly resolve this limitation by pairing the advanced mixture copula structure with Extreme Value Theory (EVT) for the marginal distributions, ensuring that both the overarching dependency structure and the individual asset behaviors reflect authentic crisis dynamics. Also the data acquisition architecture introduces potential survivorship bias, as delisted equities are often excluded from standard historical market extracts. Additionally, strict computational constraints necessitated a significant reduction in optimisation iterations, when scaling the calibration across a two-decade historical window. While the optimisation engine demonstrated remarkable directional stability under these constraints, the resulting statistical noise in the skewness parameter underscores the pressing need to transition toward more scalable, neural-network-driven calibration methodologies in subsequent research.</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w:t>
      </w:r>
      <w:r>
        <w:t xml:space="preserve"> </w:t>
      </w:r>
      <w:r>
        <w:t xml:space="preserve">Furthermore, to maximize the accuracy of these tail risk measurements, future research should integrate Extreme Value Theory (EVT) to construct the individual marginal distributions. Coupling robust EVT marginals with the dynamically calibrated mixture copulas would ensure that both the overarching market dependency structure and the idiosyncratic tail risks of individual assets are realistically captured during severe shocks.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p>
      <w:pPr>
        <w:pStyle w:val="BodyText"/>
      </w:pPr>
      <w:r>
        <w:t xml:space="preserve">Beyond risk measurement and stress testing, a promising domain for the application of this framework is the field of credit derivative pricing, specifically within correlation trading portfolios. These structured financial products, such as bespoke tranches or nth-to-default baskets,typically feature underlying pools of approximately 100 distinct corporate names. This level of dimensionality is significantly higher than the standard basket sizes generally encountered in other asset classes, presenting a unique challenge. Accurately mapping the joint default probabilities and cascading credit events across huge and interconnected space often pushes traditional quantitative pricing models to their limits. By leveraging this highly scalable, dynamically calibrated mixture copula methodology, practitioners could establish an alternative to conventional pricing methodologies, many of which inherently struggle to capture extreme, simultaneous credit events. Furthermore, even in institutional environments where legacy models remain the valuation standard, deploying this framework in parallel would provide an efficient benchmarking mechanism. It would help to systematically measure model uncertainty, highlighting the precise pricing deviations and hidden risk premiums that materialise only when severe, heavy-tailed default correlations are accurately incorporated into the valuation of the credit baskets.</w:t>
      </w:r>
    </w:p>
    <w:p>
      <w:pPr>
        <w:pStyle w:val="BodyText"/>
      </w:pPr>
      <w:r>
        <w:t xml:space="preserve">Within the broader domain of machine learning and artificial intelligence, this approach holds substantial promise for enhancing generative models, particularly Variational Autoencoders (VAEs). In modern deep learning applications, the latent embedding space generated by these networks is inherently of very high dimensionality, designed to encode an enormous array of complex, interacting features. Currently, many of these sophisticated models rely on a standard Gaussian copula prior to structure this massive latent space and govern the corresponding data embeddings.</w:t>
      </w:r>
      <w:r>
        <w:t xml:space="preserve"> </w:t>
      </w:r>
      <w:r>
        <w:t xml:space="preserve">While computationally convenient, this assumption forces overly restrictive, symmetric, and light-tailed constraints upon the learned representations, limiting the network’s ability to model extreme or asymmetric feature interactions across the embeddings. By substituting Gaussian copula with a dynamically calibrated mixture, which is explicitly engineered to scale efficiently across such high dimensions, it could be possible to alter how these neural networks map and interpret internal representations. Such structural upgrade could allow the VAE to capture the far more complex, asymmetric, and extreme dependencies embedded within the underlying data.</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19"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pPr>
        <w:pStyle w:val="BodyText"/>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18" w:name="Xdc0b87fe1018f3f3e2fbbcf8424086cb4c49fba"/>
    <w:p>
      <w:pPr>
        <w:pStyle w:val="Heading2"/>
      </w:pPr>
      <w:r>
        <w:t xml:space="preserve">Appendix C: Analysis of different VaR methodologies/percentiles</w:t>
      </w:r>
    </w:p>
    <w:p>
      <w:pPr>
        <w:pStyle w:val="CaptionedFigure"/>
      </w:pPr>
      <w:r>
        <w:drawing>
          <wp:inline>
            <wp:extent cx="5227781" cy="5200072"/>
            <wp:effectExtent b="0" l="0" r="0" t="0"/>
            <wp:docPr descr="Figure A.5: Monthly 90% HVaR level and MC VaR levels with different copulas from 2020 to 2025 all long S&amp;P 500 portfolio" title="" id="107" name="Picture"/>
            <a:graphic>
              <a:graphicData uri="http://schemas.openxmlformats.org/drawingml/2006/picture">
                <pic:pic>
                  <pic:nvPicPr>
                    <pic:cNvPr descr="figures\Var_SP500_LongAll_900u.png" id="108" name="Picture"/>
                    <pic:cNvPicPr>
                      <a:picLocks noChangeArrowheads="1" noChangeAspect="1"/>
                    </pic:cNvPicPr>
                  </pic:nvPicPr>
                  <pic:blipFill>
                    <a:blip r:embed="rId106"/>
                    <a:stretch>
                      <a:fillRect/>
                    </a:stretch>
                  </pic:blipFill>
                  <pic:spPr bwMode="auto">
                    <a:xfrm>
                      <a:off x="0" y="0"/>
                      <a:ext cx="5227781" cy="5200072"/>
                    </a:xfrm>
                    <a:prstGeom prst="rect">
                      <a:avLst/>
                    </a:prstGeom>
                    <a:noFill/>
                    <a:ln w="9525">
                      <a:noFill/>
                      <a:headEnd/>
                      <a:tailEnd/>
                    </a:ln>
                  </pic:spPr>
                </pic:pic>
              </a:graphicData>
            </a:graphic>
          </wp:inline>
        </w:drawing>
      </w:r>
    </w:p>
    <w:p>
      <w:pPr>
        <w:pStyle w:val="ImageCaption"/>
      </w:pPr>
      <w:r>
        <w:t xml:space="preserve">Figure A.5: Monthly 90% HVaR level and MC VaR levels with different copulas from 2020 to 2025 all long S&amp;P 500 portfolio</w:t>
      </w:r>
    </w:p>
    <w:p>
      <w:pPr>
        <w:pStyle w:val="CaptionedFigure"/>
      </w:pPr>
      <w:r>
        <w:drawing>
          <wp:inline>
            <wp:extent cx="5181600" cy="5200072"/>
            <wp:effectExtent b="0" l="0" r="0" t="0"/>
            <wp:docPr descr="Figure A.6: Monthly 90% HVaR level and MC VaR levels with different copulas from 2020 to 2025 hedged portfolio" title="" id="110" name="Picture"/>
            <a:graphic>
              <a:graphicData uri="http://schemas.openxmlformats.org/drawingml/2006/picture">
                <pic:pic>
                  <pic:nvPicPr>
                    <pic:cNvPr descr="figures\Var_SP500_Hedged_900u.png" id="111" name="Picture"/>
                    <pic:cNvPicPr>
                      <a:picLocks noChangeArrowheads="1" noChangeAspect="1"/>
                    </pic:cNvPicPr>
                  </pic:nvPicPr>
                  <pic:blipFill>
                    <a:blip r:embed="rId109"/>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A.6: Monthly 90% HVaR level and MC VaR levels with different copulas from 2020 to 2025 hedged portfolio</w:t>
      </w:r>
    </w:p>
    <w:p>
      <w:pPr>
        <w:pStyle w:val="CaptionedFigure"/>
      </w:pPr>
      <w:r>
        <w:drawing>
          <wp:inline>
            <wp:extent cx="5024581" cy="5200072"/>
            <wp:effectExtent b="0" l="0" r="0" t="0"/>
            <wp:docPr descr="Figure A.7: Monthly 99.5% HVaR level and MC VaR levels with different copulas from 2020 to 2025 all long S&amp;P 500 portfolio" title="" id="113" name="Picture"/>
            <a:graphic>
              <a:graphicData uri="http://schemas.openxmlformats.org/drawingml/2006/picture">
                <pic:pic>
                  <pic:nvPicPr>
                    <pic:cNvPr descr="figures\Var_SP500_LongAll_995u.png" id="114" name="Picture"/>
                    <pic:cNvPicPr>
                      <a:picLocks noChangeArrowheads="1" noChangeAspect="1"/>
                    </pic:cNvPicPr>
                  </pic:nvPicPr>
                  <pic:blipFill>
                    <a:blip r:embed="rId11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t xml:space="preserve">Figure A.7: Monthly 99.5% HVaR level and MC VaR levels with different copulas from 2020 to 2025 all long S&amp;P 500 portfolio</w:t>
      </w:r>
    </w:p>
    <w:p>
      <w:pPr>
        <w:pStyle w:val="CaptionedFigure"/>
      </w:pPr>
      <w:r>
        <w:drawing>
          <wp:inline>
            <wp:extent cx="5181600" cy="5200072"/>
            <wp:effectExtent b="0" l="0" r="0" t="0"/>
            <wp:docPr descr="Figure A.8: Monthly 99.5% HVaR level and MC VaR levels with different copulas from 2020 to 2025 hedged portfolio" title="" id="116" name="Picture"/>
            <a:graphic>
              <a:graphicData uri="http://schemas.openxmlformats.org/drawingml/2006/picture">
                <pic:pic>
                  <pic:nvPicPr>
                    <pic:cNvPr descr="figures\Var_SP500_Hedged_995u.png" id="117" name="Picture"/>
                    <pic:cNvPicPr>
                      <a:picLocks noChangeArrowheads="1" noChangeAspect="1"/>
                    </pic:cNvPicPr>
                  </pic:nvPicPr>
                  <pic:blipFill>
                    <a:blip r:embed="rId11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A.8: Monthly 99.5% HVaR level and MC VaR levels with different copulas from 2020 to 2025 hedged portfolio</w:t>
      </w:r>
    </w:p>
    <w:bookmarkEnd w:id="118"/>
    <w:bookmarkEnd w:id="119"/>
    <w:sectPr w:rsidR="00EE35AF" w:rsidSect="004875F0">
      <w:footerReference r:id="rId8" w:type="defaul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105BCE"/>
    <w:rsid w:val="001411FC"/>
    <w:rsid w:val="001847CA"/>
    <w:rsid w:val="00250697"/>
    <w:rsid w:val="00305EFF"/>
    <w:rsid w:val="004875F0"/>
    <w:rsid w:val="004E53F9"/>
    <w:rsid w:val="004F6E94"/>
    <w:rsid w:val="00567562"/>
    <w:rsid w:val="00613D1E"/>
    <w:rsid w:val="006D61CA"/>
    <w:rsid w:val="00D4338E"/>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2026-08-06T21:06:08Z</dcterms:created>
  <dcterms:modified xsi:type="dcterms:W3CDTF">2026-08-06T21:06:08Z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9430.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