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38.png" ContentType="image/png"/>
  <Override PartName="/word/media/rId23.png" ContentType="image/png"/>
  <Override PartName="/word/media/rId20.png" ContentType="image/png"/>
  <Override PartName="/word/media/rId13.png" ContentType="image/png"/>
  <Override PartName="/word/media/rId41.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30 September 2026. Word count: 2414</w:t>
      </w:r>
    </w:p>
    <w:p>
      <w:pPr>
        <w:pStyle w:val="AbstractTitle"/>
      </w:pPr>
      <w:r>
        <w:t xml:space="preserve">Abstract</w:t>
      </w:r>
    </w:p>
    <w:p>
      <w:pPr>
        <w:pStyle w:val="Abstract"/>
      </w:pPr>
      <w:r>
        <w:t xml:space="preserve">The modelling of high‑dimensional joint dependence among financial risk factors remains a significant major challenge for the financial industry.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modern machine‑learning models to generate realistic joint‑distribution scenarios for up to several hundred risk factors. A proof‑of‑concept Python software implementation will be built to (i) retrieve and cache market data via the Yahoo API, (ii) compute portfolio Value‑at‑Risk (VaR)) using both historical and Monte‑Carlo simulations, and (iii) integrate the calibrated copulas as modular components within the Monte‑Carlo engine. Empirical experiments will assess the impact of copula selection on VaR/ES estimates across a range of selected portfolios, followed by an optimisation routine to fit copula parameters to observed data. Finally, a deep‑neural‑network (MLP)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 Nevertheless, joint analytics of high dimensionality (e.g., &gt;100 random factors) present serious challenges. This task is hard to address with classical statistical methods, and the available toolset is quite limited, i.e., mainly based on Gaussian copulas. There is hope that modern advances in ML/AI algorithms could help expand this toolset and provide alternative approaches for modeling high-dimensional joint dependency.</w:t>
      </w:r>
    </w:p>
    <w:p>
      <w:pPr>
        <w:pStyle w:val="BodyText"/>
      </w:pPr>
      <w:r>
        <w:t xml:space="preserve">This MSc proposal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 The proposal concludes in a development plan for the project.</w:t>
      </w:r>
    </w:p>
    <w:bookmarkEnd w:id="9"/>
    <w:bookmarkStart w:id="10" w:name="aims-and-objectives"/>
    <w:p>
      <w:pPr>
        <w:pStyle w:val="Heading1"/>
      </w:pPr>
      <w:r>
        <w:t xml:space="preserve">Aims and Objectives</w:t>
      </w:r>
    </w:p>
    <w:p>
      <w:pPr>
        <w:pStyle w:val="FirstParagraph"/>
      </w:pPr>
      <w:r>
        <w:t xml:space="preserve">The main aim of this work would be to develop an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pPr>
        <w:pStyle w:val="BodyText"/>
      </w:pPr>
      <w:r>
        <w:t xml:space="preserve">To illustrate and test the results project will also require to develop a software application designed for extracting and caching market data, with subsequent incorporation of calculations of portfolio Value-at-Risk (VaR) and/or Expected Shortfall (ES) measures. To achieve this, implement Monte Carlo simulations using various copulas within the application, in addition to providing support for the pure historical calculation methods (which can serve as a benchmark).</w:t>
      </w:r>
    </w:p>
    <w:p>
      <w:pPr>
        <w:pStyle w:val="BodyText"/>
      </w:pPr>
      <w:r>
        <w:t xml:space="preserve">Upon completion of the initial software development, conduct an experimental analysis to evaluate the impact of copula assumptions on the selected VaR / ES measures across distinct portfolios. Following this, establish a calibration procedure aimed at fitting appropriate copulas to real-world market data. Lastly, devise a testing exercise to verify whether the calibrated copulas align with the prescribed conditions.</w:t>
      </w:r>
    </w:p>
    <w:bookmarkEnd w:id="10"/>
    <w:bookmarkStart w:id="19" w:name="X32b9430d5d15411fac62685483839fe9d87a9a8"/>
    <w:p>
      <w:pPr>
        <w:pStyle w:val="Heading1"/>
      </w:pPr>
      <w:r>
        <w:t xml:space="preserve">Description of the problem and relevant work</w:t>
      </w:r>
    </w:p>
    <w:bookmarkStart w:id="17" w:name="key-concepts"/>
    <w:p>
      <w:pPr>
        <w:pStyle w:val="Heading2"/>
      </w:pPr>
      <w:r>
        <w:t xml:space="preserve">Key concepts</w:t>
      </w:r>
    </w:p>
    <w:bookmarkStart w:id="11" w:name="X2df427def89a3ef237a42aa6bbd525f6362f6e2"/>
    <w:p>
      <w:pPr>
        <w:pStyle w:val="Heading3"/>
      </w:pPr>
      <w:r>
        <w:t xml:space="preserve">Value-at-Risk (VaR) and expected shortfall (ES)</w:t>
      </w:r>
    </w:p>
    <w:p>
      <w:pPr>
        <w:pStyle w:val="FirstParagraph"/>
      </w:pPr>
      <w:r>
        <w:t xml:space="preserve">Based on</w:t>
      </w:r>
      <w:r>
        <w:t xml:space="preserve"> </w:t>
      </w:r>
      <w:hyperlink w:anchor="references">
        <w:r>
          <w:rPr>
            <w:rStyle w:val="Hyperlink"/>
          </w:rPr>
          <w:t xml:space="preserve">[1]</w:t>
        </w:r>
      </w:hyperlink>
      <w:r>
        <w:t xml:space="preserve">, portfolio Value-at-risk (VaR) can be defined as the quantile (usually high 99%, 99.9% etc.) of the projected distribution of gains and loses over the target horizon. In simple terms it summarizes the worst loss that will not be exceeded with a given level of confidence.</w:t>
      </w:r>
    </w:p>
    <w:p>
      <w:pPr>
        <w:pStyle w:val="BodyText"/>
      </w:pPr>
      <m:oMathPara>
        <m:oMathParaPr>
          <m:jc m:val="center"/>
        </m:oMathParaPr>
        <m:oMath>
          <m:sSub>
            <m:e>
              <m:r>
                <m:rPr>
                  <m:nor/>
                  <m:sty m:val="p"/>
                </m:rPr>
                <m:t>VaR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r>
            <m:t>1</m:t>
          </m:r>
          <m:r>
            <m:rPr>
              <m:sty m:val="p"/>
            </m:rPr>
            <m:t>/</m:t>
          </m:r>
          <m:r>
            <m:rPr>
              <m:sty m:val="p"/>
            </m:rPr>
            <m:t>(</m:t>
          </m:r>
          <m:r>
            <m:t>1</m:t>
          </m:r>
          <m:r>
            <m:rPr>
              <m:sty m:val="p"/>
            </m:rPr>
            <m:t>−</m:t>
          </m:r>
          <m:r>
            <m:t>α</m:t>
          </m:r>
          <m:r>
            <m:rPr>
              <m:sty m:val="p"/>
            </m:rPr>
            <m:t>)</m:t>
          </m:r>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oMath>
      </m:oMathPara>
    </w:p>
    <w:p>
      <w:pPr>
        <w:pStyle w:val="FirstParagraph"/>
      </w:pPr>
      <w:r>
        <w:t xml:space="preserve">Additional details and relevant industry discussion about ES are available in</w:t>
      </w:r>
      <w:r>
        <w:t xml:space="preserve"> </w:t>
      </w:r>
      <w:hyperlink w:anchor="references">
        <w:r>
          <w:rPr>
            <w:rStyle w:val="Hyperlink"/>
          </w:rPr>
          <w:t xml:space="preserve">[4]</w:t>
        </w:r>
      </w:hyperlink>
      <w:r>
        <w:t xml:space="preserve">.</w:t>
      </w:r>
    </w:p>
    <w:p>
      <w:pPr>
        <w:pStyle w:val="BodyText"/>
      </w:pPr>
      <w:r>
        <w:t xml:space="preserve">There are several main contesting industry spread approaches (see</w:t>
      </w:r>
      <w:r>
        <w:t xml:space="preserve"> </w:t>
      </w:r>
      <w:hyperlink w:anchor="references">
        <w:r>
          <w:rPr>
            <w:rStyle w:val="Hyperlink"/>
          </w:rPr>
          <w:t xml:space="preserve">[1]</w:t>
        </w:r>
      </w:hyperlink>
      <w:r>
        <w:t xml:space="preserve"> </w:t>
      </w:r>
      <w:r>
        <w:t xml:space="preserve">for additional details):</w:t>
      </w:r>
    </w:p>
    <w:p>
      <w:pPr>
        <w:pStyle w:val="Compact"/>
        <w:numPr>
          <w:ilvl w:val="0"/>
          <w:numId w:val="1001"/>
        </w:numPr>
      </w:pPr>
      <w:r>
        <w:t xml:space="preserve">Historical Value-at-Risk (HVaR),</w:t>
      </w:r>
    </w:p>
    <w:p>
      <w:pPr>
        <w:pStyle w:val="Compact"/>
        <w:numPr>
          <w:ilvl w:val="0"/>
          <w:numId w:val="1001"/>
        </w:numPr>
      </w:pPr>
      <w:r>
        <w:t xml:space="preserve">Monte Carlo Value-at-Risk (MC VaR),</w:t>
      </w:r>
    </w:p>
    <w:p>
      <w:pPr>
        <w:pStyle w:val="Compact"/>
        <w:numPr>
          <w:ilvl w:val="0"/>
          <w:numId w:val="1001"/>
        </w:numPr>
      </w:pPr>
      <w:r>
        <w:t xml:space="preserve">and their hybrids.</w:t>
      </w:r>
    </w:p>
    <w:p>
      <w:pPr>
        <w:pStyle w:val="FirstParagraph"/>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 While HVaR does allow for filtration techniques to refine marginal distributions, this flexibility does not extend to the dependence structure, meaning it cannot effectively separate the modelling of marginals from the copula that links them. As a result, the approach struggles to capture complex joint behaviors in a structured way. Another related critical drawback is the high numerical error associated with HVaR, stemming from the finite and often sparse nature of historical data, especially in the tails. On the other hand, the relative strength of the method is its low model error, since it does not impose strong parametric assumptions but instead directly uses empirical distributions. This makes it robust in scenarios where the true data-generating process is unknown (and a good benchmark), though at the cost of precision in extreme quantiles.</w:t>
      </w:r>
    </w:p>
    <w:p>
      <w:pPr>
        <w:pStyle w:val="BodyText"/>
      </w:pPr>
      <w:r>
        <w:t xml:space="preserve">In contrast, Monte Carlo Value-at-Risk (MC VaR), whether based on parametric assumptions or Extreme Value Theory (EVT), offers distinct advantages for high-percentile risk estimation. 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 This separation enhances flexibility in modelling dependence structure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 However, this precision comes at the expense of higher model error, particularly when parametric assumptions are misspecified or when EVT extrapolations deviate from true tail behavior. While these methods provide greater control and extensibility in extreme risk modelling, their reliability hinges on the accuracy of the underlying assumptions, whether in the choice of distributions copula functions, or tail decay parameters.</w:t>
      </w:r>
    </w:p>
    <w:bookmarkEnd w:id="11"/>
    <w:bookmarkStart w:id="12" w:name="copulas."/>
    <w:p>
      <w:pPr>
        <w:pStyle w:val="Heading3"/>
      </w:pPr>
      <w:r>
        <w:t xml:space="preserve">Copulas.</w:t>
      </w:r>
    </w:p>
    <w:p>
      <w:pPr>
        <w:pStyle w:val="FirstParagraph"/>
      </w:pPr>
      <w:r>
        <w:t xml:space="preserve">In this section we briefly introduce the concept of copulas and provide additional references, followed by the impacts it could have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uniform marginals.</w:t>
      </w:r>
    </w:p>
    <w:p>
      <w:pPr>
        <w:pStyle w:val="BodyText"/>
      </w:pPr>
      <w:r>
        <w:t xml:space="preserve">Sklar’s theorem.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r>
        <w:t xml:space="preserve"> </w:t>
      </w:r>
      <w:r>
        <w:t xml:space="preserve">[</w:t>
      </w:r>
    </w:p>
    <w:p>
      <w:pPr>
        <w:pStyle w:val="BodyText"/>
      </w:pPr>
      <m:oMathPara>
        <m:oMathParaPr>
          <m:jc m:val="center"/>
        </m:oMathParaPr>
        <m:oMath>
          <m:r>
            <m:t>H</m:t>
          </m:r>
          <m:r>
            <m:rPr>
              <m:sty m:val="p"/>
            </m:rPr>
            <m:t>(</m:t>
          </m:r>
          <m:sSub>
            <m:e>
              <m:r>
                <m:t>x</m:t>
              </m:r>
            </m:e>
            <m:sub>
              <m:r>
                <m:t>1</m:t>
              </m:r>
            </m:sub>
          </m:sSub>
          <m:r>
            <m:rPr>
              <m:sty m:val="p"/>
            </m:rPr>
            <m:t>,</m:t>
          </m:r>
          <m:r>
            <m:rPr>
              <m:sty m:val="p"/>
            </m:rPr>
            <m:t>.</m:t>
          </m:r>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oMath>
      </m:oMathPara>
    </w:p>
    <w:p>
      <w:pPr>
        <w:pStyle w:val="FirstParagraph"/>
      </w:pPr>
      <w:r>
        <w:t xml:space="preserve">]</w:t>
      </w:r>
    </w:p>
    <w:p>
      <w:pPr>
        <w:pStyle w:val="BodyText"/>
      </w:pPr>
      <w:r>
        <w:t xml:space="preserve">For more details on copula and their applications in finance please see</w:t>
      </w:r>
      <w:r>
        <w:t xml:space="preserve"> </w:t>
      </w:r>
      <w:hyperlink w:anchor="references">
        <w:r>
          <w:rPr>
            <w:rStyle w:val="Hyperlink"/>
          </w:rPr>
          <w:t xml:space="preserve">[2]</w:t>
        </w:r>
      </w:hyperlink>
      <w:r>
        <w:t xml:space="preserve">. However it is important to introduce several properties of the copulas which will be significant for the current project:</w:t>
      </w:r>
    </w:p>
    <w:p>
      <w:pPr>
        <w:numPr>
          <w:ilvl w:val="0"/>
          <w:numId w:val="1002"/>
        </w:numPr>
      </w:pPr>
      <w:r>
        <w:t xml:space="preserve">A convex combination of copulas is also a copula. It is often called a mixture copula and can be expressed as a weighted sum of copulas</w:t>
      </w:r>
      <w:r>
        <w:t xml:space="preserve"> </w:t>
      </w:r>
      <m:oMath>
        <m:sSub>
          <m:e>
            <m:r>
              <m:t>C</m:t>
            </m:r>
          </m:e>
          <m:sub>
            <m:r>
              <m:t>i</m:t>
            </m:r>
          </m:sub>
        </m:sSub>
      </m:oMath>
      <w:r>
        <w:t xml:space="preserve">, defined as</w:t>
      </w:r>
      <w:r>
        <w:t xml:space="preserve"> </w:t>
      </w:r>
      <m:oMath>
        <m:sSub>
          <m:e>
            <m:r>
              <m:t>C</m:t>
            </m:r>
          </m:e>
          <m:sub>
            <m:r>
              <m:t>m</m:t>
            </m:r>
            <m:r>
              <m:t>i</m:t>
            </m:r>
            <m:r>
              <m:t>x</m:t>
            </m:r>
          </m:sub>
        </m:sSub>
        <m:r>
          <m:rPr>
            <m:sty m:val="p"/>
          </m:rPr>
          <m:t>=</m:t>
        </m:r>
        <m:sSubSup>
          <m:e>
            <m:r>
              <m:rPr>
                <m:sty m:val="p"/>
              </m:rPr>
              <m:t>Σ</m:t>
            </m:r>
          </m:e>
          <m:sub>
            <m:r>
              <m:t>i</m:t>
            </m:r>
            <m:r>
              <m:rPr>
                <m:sty m:val="p"/>
              </m:rPr>
              <m:t>=</m:t>
            </m:r>
            <m:r>
              <m:t>1</m:t>
            </m:r>
          </m:sub>
          <m:sup>
            <m:r>
              <m:t>n</m:t>
            </m:r>
          </m:sup>
        </m:sSubSup>
        <m:sSub>
          <m:e>
            <m:r>
              <m:t>w</m:t>
            </m:r>
          </m:e>
          <m:sub>
            <m:r>
              <m:t>i</m:t>
            </m:r>
          </m:sub>
        </m:sSub>
        <m:sSub>
          <m:e>
            <m:r>
              <m:t>C</m:t>
            </m:r>
          </m:e>
          <m:sub>
            <m:r>
              <m:t>i</m:t>
            </m:r>
          </m:sub>
        </m:sSub>
        <m:r>
          <m:rPr>
            <m:sty m:val="p"/>
          </m:rPr>
          <m:t>(</m:t>
        </m:r>
        <m:r>
          <m:t>u</m:t>
        </m:r>
        <m:r>
          <m:rPr>
            <m:sty m:val="p"/>
          </m:rPr>
          <m:t>,</m:t>
        </m:r>
        <m:r>
          <m:t>v</m:t>
        </m:r>
        <m:r>
          <m:rPr>
            <m:sty m:val="p"/>
          </m:rPr>
          <m:t>)</m:t>
        </m:r>
      </m:oMath>
      <w:r>
        <w:t xml:space="preserve">, where all</w:t>
      </w:r>
      <w:r>
        <w:t xml:space="preserve"> </w:t>
      </w:r>
      <m:oMath>
        <m:sSub>
          <m:e>
            <m:r>
              <m:t>w</m:t>
            </m:r>
          </m:e>
          <m:sub>
            <m:r>
              <m:t>i</m:t>
            </m:r>
          </m:sub>
        </m:sSub>
        <m:r>
          <m:rPr>
            <m:sty m:val="p"/>
          </m:rPr>
          <m:t>&gt;</m:t>
        </m:r>
        <m:r>
          <m:t>0</m:t>
        </m:r>
      </m:oMath>
      <w:r>
        <w:t xml:space="preserve"> </w:t>
      </w:r>
      <w:r>
        <w:t xml:space="preserve">and sum to one</w:t>
      </w:r>
      <w:r>
        <w:t xml:space="preserve"> </w:t>
      </w:r>
      <m:oMath>
        <m:sSubSup>
          <m:e>
            <m:r>
              <m:rPr>
                <m:sty m:val="p"/>
              </m:rPr>
              <m:t>Σ</m:t>
            </m:r>
          </m:e>
          <m:sub>
            <m:r>
              <m:t>i</m:t>
            </m:r>
            <m:r>
              <m:rPr>
                <m:sty m:val="p"/>
              </m:rPr>
              <m:t>=</m:t>
            </m:r>
            <m:r>
              <m:t>1</m:t>
            </m:r>
          </m:sub>
          <m:sup>
            <m:r>
              <m:t>n</m:t>
            </m:r>
          </m:sup>
        </m:sSubSup>
        <m:sSub>
          <m:e>
            <m:r>
              <m:t>w</m:t>
            </m:r>
          </m:e>
          <m:sub>
            <m:r>
              <m:t>i</m:t>
            </m:r>
          </m:sub>
        </m:sSub>
        <m:r>
          <m:rPr>
            <m:sty m:val="p"/>
          </m:rPr>
          <m:t>=</m:t>
        </m:r>
        <m:r>
          <m:t>1</m:t>
        </m:r>
      </m:oMath>
      <w:r>
        <w:t xml:space="preserve">.</w:t>
      </w:r>
    </w:p>
    <w:p>
      <w:pPr>
        <w:numPr>
          <w:ilvl w:val="0"/>
          <w:numId w:val="1002"/>
        </w:numPr>
      </w:pPr>
      <w:r>
        <w:t xml:space="preserve">Exists a set of functions (W-transforms) applied to copula and also returning copula but with modified properties. For additional details on these transformations and their properties please see</w:t>
      </w:r>
      <w:r>
        <w:t xml:space="preserve"> </w:t>
      </w:r>
      <w:hyperlink w:anchor="references">
        <w:r>
          <w:rPr>
            <w:rStyle w:val="Hyperlink"/>
          </w:rPr>
          <w:t xml:space="preserve">[9]</w:t>
        </w:r>
      </w:hyperlink>
      <w:r>
        <w:t xml:space="preserve">.</w:t>
      </w:r>
    </w:p>
    <w:bookmarkEnd w:id="12"/>
    <w:bookmarkStart w:id="16" w:name="copulas-in-value-at-risk"/>
    <w:p>
      <w:pPr>
        <w:pStyle w:val="Heading3"/>
      </w:pPr>
      <w:r>
        <w:t xml:space="preserve">Copulas in Value-at-Risk</w:t>
      </w:r>
    </w:p>
    <w:p>
      <w:pPr>
        <w:pStyle w:val="FirstParagraph"/>
      </w:pPr>
      <w:r>
        <w:t xml:space="preserve">The selection of a copula has a significant influence on the assessment of tail‑risk measures such as Value‑at‑Risk (VaR) / Expected Shortfall (ES). This influence becomes increasingly pronounced as we move to more extreme quantiles (e.g. 99 % and 99.9 % VaR). 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 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references">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oMath>
      </m:oMathPara>
    </w:p>
    <w:p>
      <w:pPr>
        <w:pStyle w:val="FirstParagraph"/>
      </w:pPr>
      <w:r>
        <w:t xml:space="preserve">By computing these tail‑dependence coefficients, one can directly compare how different copulas treat extreme co‑movements. The contrast is stark: while a Gaussian copula predicts virtually no joint tail events, for example Cauchy (Student-T with zero degrees of freedom) assigns a non‑negligible probability to simultaneous extreme losses. See</w:t>
      </w:r>
      <w:r>
        <w:t xml:space="preserve"> </w:t>
      </w:r>
      <w:hyperlink w:anchor="copula-examples">
        <w:r>
          <w:rPr>
            <w:rStyle w:val="Hyperlink"/>
          </w:rPr>
          <w:t xml:space="preserve">Appendix A</w:t>
        </w:r>
      </w:hyperlink>
      <w:r>
        <w:t xml:space="preserve"> </w:t>
      </w:r>
      <w:r>
        <w:t xml:space="preserve">for the visual comparison between two copulas both reflecting equivalent correlation values. This disparity translates into markedly different VaR and ES estimates, especially at the highest percentiles. Consequently, when modelling portfolio risk that is sensitive to rare but severe events, choosing a copula with appropriate tail dependence is essential. Otherwise, VaR and ES risk measures may be substantially understated.</w:t>
      </w:r>
    </w:p>
    <w:p>
      <w:pPr>
        <w:pStyle w:val="BodyText"/>
      </w:pPr>
      <w:r>
        <w:t xml:space="preserve">Figures below compare historically observed tail dependence (the orange line) with the one of Gaussian and Cauchy copulas i.e. Student-T with zero degrees of freedom (the blue and green lines respectively). The vertical axis measures tail dependence, while the horizontal axis displays the chosen percentile. As the graphs reveal, the discrepancy between the observed and Gaussian tail dependence expands significantly when more risk factors considered together.</w:t>
      </w:r>
    </w:p>
    <w:p>
      <w:pPr>
        <w:pStyle w:val="CaptionedFigure"/>
      </w:pPr>
      <w:r>
        <w:drawing>
          <wp:inline>
            <wp:extent cx="5334000" cy="2156297"/>
            <wp:effectExtent b="0" l="0" r="0" t="0"/>
            <wp:docPr descr="Figure 1: Tail dependence for different types of copulas and different number of random variables" title="" id="14" name="Picture"/>
            <a:graphic>
              <a:graphicData uri="http://schemas.openxmlformats.org/drawingml/2006/picture">
                <pic:pic>
                  <pic:nvPicPr>
                    <pic:cNvPr descr="figures\Tail_dependance.png" id="15" name="Picture"/>
                    <pic:cNvPicPr>
                      <a:picLocks noChangeArrowheads="1" noChangeAspect="1"/>
                    </pic:cNvPicPr>
                  </pic:nvPicPr>
                  <pic:blipFill>
                    <a:blip r:embed="rId13"/>
                    <a:stretch>
                      <a:fillRect/>
                    </a:stretch>
                  </pic:blipFill>
                  <pic:spPr bwMode="auto">
                    <a:xfrm>
                      <a:off x="0" y="0"/>
                      <a:ext cx="5334000" cy="2156297"/>
                    </a:xfrm>
                    <a:prstGeom prst="rect">
                      <a:avLst/>
                    </a:prstGeom>
                    <a:noFill/>
                    <a:ln w="9525">
                      <a:noFill/>
                      <a:headEnd/>
                      <a:tailEnd/>
                    </a:ln>
                  </pic:spPr>
                </pic:pic>
              </a:graphicData>
            </a:graphic>
          </wp:inline>
        </w:drawing>
      </w:r>
    </w:p>
    <w:p>
      <w:pPr>
        <w:pStyle w:val="ImageCaption"/>
      </w:pPr>
      <w:r>
        <w:t xml:space="preserve">Figure 1: Tail dependence for different types of copulas and different number of random variables</w:t>
      </w:r>
    </w:p>
    <w:p>
      <w:pPr>
        <w:pStyle w:val="BodyText"/>
      </w:pPr>
      <w:r>
        <w:t xml:space="preserve">The Cauchy copula is a statistical technique for capturing dependence structures, especially when modelling tail‑risk or extreme events. Its principal advantage lies in preserving the overall correlation matrix of the underlying variables while simultaneously enabling the generation of scenarios that exhibit much heavier tails (joint‑movement) and de-correlation. In practice, this means that the copula retains the familiar linear dependence captured by pearson‑type correlations, yet it can produce joint realizations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 In other words, the usual together‑ness of the data breaks down. A classic illustration comes from equity markets: two stocks that historically track each other e.g. because they belong to the same industry, may abruptly move in opposite directions during a stress event. For example, Apple vs. Microsoft - Apple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shared extreme driver. Think of a severe natural disaster that simultaneously spikes commodity prices or a sovereign default that forces both sovereign bond yields and the domestic currency to deteriorate together. In these cases the common shock creates a temporary, high‑intensity dependence that standard correlation estimates fail to capture.</w:t>
      </w:r>
    </w:p>
    <w:p>
      <w:pPr>
        <w:pStyle w:val="BodyText"/>
      </w:pPr>
      <w:r>
        <w:t xml:space="preserve">Both types of scenarios are crucial for robust risk assessment. De‑correlation highlights the risk of assets that are supposed to hedge each other stop doing so, while joint‑movement emphasizes the danger of hidden tail‑dependence that can generate simultaneous losses across seemingly unrelated positions. Modelling frameworks that can generate both behaviors, provide a more realistic picture of potential extreme outcomes than approaches that rely solely on historic linear correlations.</w:t>
      </w:r>
    </w:p>
    <w:bookmarkEnd w:id="16"/>
    <w:bookmarkEnd w:id="17"/>
    <w:bookmarkStart w:id="18" w:name="literature-review"/>
    <w:p>
      <w:pPr>
        <w:pStyle w:val="Heading2"/>
      </w:pPr>
      <w:r>
        <w:t xml:space="preserve">Literature review</w:t>
      </w:r>
    </w:p>
    <w:p>
      <w:pPr>
        <w:pStyle w:val="FirstParagraph"/>
      </w:pPr>
      <w:r>
        <w:t xml:space="preserve">The rapid advancement of generative machine learning techniques has generated significant interest within the financial industry, as evidenced by numerous studies (e.g., see</w:t>
      </w:r>
      <w:r>
        <w:t xml:space="preserve"> </w:t>
      </w:r>
      <w:hyperlink w:anchor="references">
        <w:r>
          <w:rPr>
            <w:rStyle w:val="Hyperlink"/>
          </w:rPr>
          <w:t xml:space="preserve">[8]</w:t>
        </w:r>
      </w:hyperlink>
      <w:r>
        <w:t xml:space="preserve"> </w:t>
      </w:r>
      <w:r>
        <w:t xml:space="preserve">for a review). However, much of the existing research has primarily focused on generating paths for either a single asset or a limited number of risk factors (as discussed in</w:t>
      </w:r>
      <w:r>
        <w:t xml:space="preserve"> </w:t>
      </w:r>
      <w:hyperlink w:anchor="references">
        <w:r>
          <w:rPr>
            <w:rStyle w:val="Hyperlink"/>
          </w:rPr>
          <w:t xml:space="preserve">[7]</w:t>
        </w:r>
      </w:hyperlink>
      <w:r>
        <w:t xml:space="preserve">). Moreover, the majority of these efforts have cantered on simulating so-called</w:t>
      </w:r>
      <w:r>
        <w:t xml:space="preserve"> </w:t>
      </w:r>
      <w:r>
        <w:t xml:space="preserve">“central scenarios,”</w:t>
      </w:r>
      <w:r>
        <w:t xml:space="preserve"> </w:t>
      </w:r>
      <w:r>
        <w:t xml:space="preserve">with limited attention given to the generation of realistic extreme scenarios. An exception to this trend can be found in</w:t>
      </w:r>
      <w:r>
        <w:t xml:space="preserve"> </w:t>
      </w:r>
      <w:hyperlink w:anchor="references">
        <w:r>
          <w:rPr>
            <w:rStyle w:val="Hyperlink"/>
          </w:rPr>
          <w:t xml:space="preserve">[5]</w:t>
        </w:r>
      </w:hyperlink>
      <w:r>
        <w:t xml:space="preserve">, which explicitly target the generation of tail events using Generative Adversarial Network (GAN) (see</w:t>
      </w:r>
      <w:r>
        <w:t xml:space="preserve"> </w:t>
      </w:r>
      <w:hyperlink w:anchor="references">
        <w:r>
          <w:rPr>
            <w:rStyle w:val="Hyperlink"/>
          </w:rPr>
          <w:t xml:space="preserve">[5]</w:t>
        </w:r>
      </w:hyperlink>
      <w:r>
        <w:t xml:space="preserve"> </w:t>
      </w:r>
      <w:r>
        <w:t xml:space="preserve">for examples and implementation) architectures, though even these approaches remain constrained to relatively low-dimensional environments (e.g., up to 20–50 factors).</w:t>
      </w:r>
    </w:p>
    <w:p>
      <w:pPr>
        <w:pStyle w:val="BodyText"/>
      </w:pPr>
      <w:r>
        <w:t xml:space="preserve">Inspired by these works, this research seeks to extend the dimensionality of scenario generation while relaxing the requirement for path dependence. This adjustment allows us to leverage more classical tools for modelling joint dependencies, such as copulas. However, even within this framework, only Gaussian copulas (and selected Student-T) have demonstrated the capacity to scale effectively to very high dimensions. This project aims to bridge the gap between the data-driven GAN-like approaches and the scalability of copulas by developing a high-dimensional copula model capable of capturing historical tail dependence properties. The ultimate goal is to generate realistic extreme scenarios that reflect the complex dependencies observed in financial markets.</w:t>
      </w:r>
    </w:p>
    <w:bookmarkEnd w:id="18"/>
    <w:bookmarkEnd w:id="19"/>
    <w:bookmarkStart w:id="26" w:name="methodology-and-methods"/>
    <w:p>
      <w:pPr>
        <w:pStyle w:val="Heading1"/>
      </w:pPr>
      <w:r>
        <w:t xml:space="preserve">Methodology and methods</w:t>
      </w:r>
    </w:p>
    <w:p>
      <w:pPr>
        <w:pStyle w:val="FirstParagraph"/>
      </w:pPr>
      <w:r>
        <w:t xml:space="preserve">As mentioned above unlike studies where the intricacies of underlying asset path dynamics (such as time-dependent volatility or complex stochastic processes) are critical, this work deliberately abstracts from such details. As such there is no need to include dynamically changing portfolios (i.e. dynamic trading strategies), limiting portfolio dimension optimization to static. Portfolios of approx. 500 names with all long positions and 500 long/short hedged positions will be used in this study.</w:t>
      </w:r>
    </w:p>
    <w:p>
      <w:pPr>
        <w:pStyle w:val="BodyText"/>
      </w:pPr>
      <w:r>
        <w:t xml:space="preserve">Figure below presents overall workflow of the project aiming at calibrating copula to historical timeseries related to the list of selected portfolios.</w:t>
      </w:r>
    </w:p>
    <w:p>
      <w:pPr>
        <w:pStyle w:val="CaptionedFigure"/>
      </w:pPr>
      <w:r>
        <w:drawing>
          <wp:inline>
            <wp:extent cx="5334000" cy="2156297"/>
            <wp:effectExtent b="0" l="0" r="0" t="0"/>
            <wp:docPr descr="Figure 2: Copula calibration workflow" title="" id="21" name="Picture"/>
            <a:graphic>
              <a:graphicData uri="http://schemas.openxmlformats.org/drawingml/2006/picture">
                <pic:pic>
                  <pic:nvPicPr>
                    <pic:cNvPr descr="figures\Project-workflow-high.png" id="22" name="Picture"/>
                    <pic:cNvPicPr>
                      <a:picLocks noChangeArrowheads="1" noChangeAspect="1"/>
                    </pic:cNvPicPr>
                  </pic:nvPicPr>
                  <pic:blipFill>
                    <a:blip r:embed="rId20"/>
                    <a:stretch>
                      <a:fillRect/>
                    </a:stretch>
                  </pic:blipFill>
                  <pic:spPr bwMode="auto">
                    <a:xfrm>
                      <a:off x="0" y="0"/>
                      <a:ext cx="5334000" cy="2156297"/>
                    </a:xfrm>
                    <a:prstGeom prst="rect">
                      <a:avLst/>
                    </a:prstGeom>
                    <a:noFill/>
                    <a:ln w="9525">
                      <a:noFill/>
                      <a:headEnd/>
                      <a:tailEnd/>
                    </a:ln>
                  </pic:spPr>
                </pic:pic>
              </a:graphicData>
            </a:graphic>
          </wp:inline>
        </w:drawing>
      </w:r>
    </w:p>
    <w:p>
      <w:pPr>
        <w:pStyle w:val="ImageCaption"/>
      </w:pPr>
      <w:r>
        <w:t xml:space="preserve">Figure 2: Copula calibration workflow</w:t>
      </w:r>
    </w:p>
    <w:p>
      <w:pPr>
        <w:pStyle w:val="BodyText"/>
      </w:pPr>
      <w:r>
        <w:t xml:space="preserve">It is further detailed in the next figure, which illustrates the cumulative process of constructing different time series based on the observed history and representing required data transformations.</w:t>
      </w:r>
    </w:p>
    <w:p>
      <w:pPr>
        <w:pStyle w:val="CaptionedFigure"/>
      </w:pPr>
      <w:r>
        <w:drawing>
          <wp:inline>
            <wp:extent cx="5334000" cy="3663108"/>
            <wp:effectExtent b="0" l="0" r="0" t="0"/>
            <wp:docPr descr="Figure 3: Detailed process of data transformations for copula calibration" title="" id="24" name="Picture"/>
            <a:graphic>
              <a:graphicData uri="http://schemas.openxmlformats.org/drawingml/2006/picture">
                <pic:pic>
                  <pic:nvPicPr>
                    <pic:cNvPr descr="figures\Project-workflow-detailed.png" id="25" name="Picture"/>
                    <pic:cNvPicPr>
                      <a:picLocks noChangeArrowheads="1" noChangeAspect="1"/>
                    </pic:cNvPicPr>
                  </pic:nvPicPr>
                  <pic:blipFill>
                    <a:blip r:embed="rId23"/>
                    <a:stretch>
                      <a:fillRect/>
                    </a:stretch>
                  </pic:blipFill>
                  <pic:spPr bwMode="auto">
                    <a:xfrm>
                      <a:off x="0" y="0"/>
                      <a:ext cx="5334000" cy="3663108"/>
                    </a:xfrm>
                    <a:prstGeom prst="rect">
                      <a:avLst/>
                    </a:prstGeom>
                    <a:noFill/>
                    <a:ln w="9525">
                      <a:noFill/>
                      <a:headEnd/>
                      <a:tailEnd/>
                    </a:ln>
                  </pic:spPr>
                </pic:pic>
              </a:graphicData>
            </a:graphic>
          </wp:inline>
        </w:drawing>
      </w:r>
    </w:p>
    <w:p>
      <w:pPr>
        <w:pStyle w:val="ImageCaption"/>
      </w:pPr>
      <w:r>
        <w:t xml:space="preserve">Figure 3: Detailed process of data transformations for copula calibration</w:t>
      </w:r>
    </w:p>
    <w:p>
      <w:pPr>
        <w:pStyle w:val="BodyText"/>
      </w:pPr>
      <w:r>
        <w:t xml:space="preserve">Beyond scalability, another key advantage lies in the interpretability of results. While alternative approaches, such as Tail-GAN-based simulations, often produce outputs that are difficult to dissect or explain, the methodology employed here offers an inherent structure for understanding extreme scenarios. The framework decomposes market dynamics into a weighted combination of copulas (see</w:t>
      </w:r>
      <w:r>
        <w:t xml:space="preserve"> </w:t>
      </w:r>
      <w:hyperlink w:anchor="copulas">
        <w:r>
          <w:rPr>
            <w:rStyle w:val="Hyperlink"/>
          </w:rPr>
          <w:t xml:space="preserve">Copulas</w:t>
        </w:r>
      </w:hyperlink>
      <w:r>
        <w:t xml:space="preserve"> </w:t>
      </w:r>
      <w:r>
        <w:t xml:space="preserve">properties in the previous section), each with a clear and intuitive economic or statistical meaning. This not only enhances transparency but also provides with a more actionable foundation for stress testing and capital planning. The ability to attribute risk contributions to specific copula components is a significant improvement in practical applicability and model governance.</w:t>
      </w:r>
    </w:p>
    <w:p>
      <w:pPr>
        <w:pStyle w:val="BodyText"/>
      </w:pPr>
      <w:r>
        <w:t xml:space="preserve">Please also note that aim of this software (Python) is a proof of concept rather than an end-user application, while it still follows the main principals of software design with the development plan outlined below.</w:t>
      </w:r>
    </w:p>
    <w:bookmarkEnd w:id="26"/>
    <w:bookmarkStart w:id="27" w:name="project-development-plan"/>
    <w:p>
      <w:pPr>
        <w:pStyle w:val="Heading1"/>
      </w:pPr>
      <w:r>
        <w:t xml:space="preserve">Project development plan</w:t>
      </w:r>
    </w:p>
    <w:p>
      <w:pPr>
        <w:pStyle w:val="FirstParagraph"/>
      </w:pPr>
      <w:r>
        <w:t xml:space="preserve">The work is expected to start in the beginning of May 2026. Development and research phase is expected to be finalized within 3 months leaving additional time for the report preparation.</w:t>
      </w:r>
    </w:p>
    <w:p>
      <w:pPr>
        <w:pStyle w:val="Compact"/>
        <w:numPr>
          <w:ilvl w:val="0"/>
          <w:numId w:val="1003"/>
        </w:numPr>
      </w:pPr>
      <w:r>
        <w:rPr>
          <w:b/>
          <w:bCs/>
        </w:rPr>
        <w:t xml:space="preserve">Step 1 [week 1-2]:</w:t>
      </w:r>
      <w:r>
        <w:t xml:space="preserve"> </w:t>
      </w:r>
      <w:r>
        <w:t xml:space="preserve">Develop functionality (Python) able to discover required market data and cache it from Yahoo API according the required population, length and granularity.</w:t>
      </w:r>
    </w:p>
    <w:p>
      <w:pPr>
        <w:pStyle w:val="Compact"/>
        <w:numPr>
          <w:ilvl w:val="0"/>
          <w:numId w:val="1003"/>
        </w:numPr>
      </w:pPr>
      <w:r>
        <w:rPr>
          <w:b/>
          <w:bCs/>
        </w:rPr>
        <w:t xml:space="preserve">Step 2 [week 3-4]:</w:t>
      </w:r>
      <w:r>
        <w:t xml:space="preserve"> </w:t>
      </w:r>
      <w:r>
        <w:t xml:space="preserve">Develop functionality able to calculate different Value-at-Risk metrics based on specified methodology i.e. Historical VaR, Monte-Carlo VaR. The latter should be structured in a way that copula class is provided as an input, allowing calculations with different copula hypothesis.</w:t>
      </w:r>
    </w:p>
    <w:p>
      <w:pPr>
        <w:pStyle w:val="Compact"/>
        <w:numPr>
          <w:ilvl w:val="0"/>
          <w:numId w:val="1003"/>
        </w:numPr>
      </w:pPr>
      <w:r>
        <w:rPr>
          <w:b/>
          <w:bCs/>
        </w:rPr>
        <w:t xml:space="preserve">Step 3 [week 5-6]:</w:t>
      </w:r>
      <w:r>
        <w:t xml:space="preserve"> </w:t>
      </w:r>
      <w:r>
        <w:t xml:space="preserve">Perform initial experiments to gauge copula impact on selected measures across different portfolios. This should help to develop better understanding required for the future interpretation of the results and testing. Assessing Gaussian, Cauchy, their transformations and weighted combinations.</w:t>
      </w:r>
    </w:p>
    <w:p>
      <w:pPr>
        <w:pStyle w:val="Compact"/>
        <w:numPr>
          <w:ilvl w:val="0"/>
          <w:numId w:val="1003"/>
        </w:numPr>
      </w:pPr>
      <w:r>
        <w:rPr>
          <w:b/>
          <w:bCs/>
        </w:rPr>
        <w:t xml:space="preserve">Step 4 [week 7-8]:</w:t>
      </w:r>
      <w:r>
        <w:t xml:space="preserve"> </w:t>
      </w:r>
      <w:r>
        <w:t xml:space="preserve">Build optimization functionality select parameters for the copula matching current measures for the list of selected portfolios. Once the best matching parameters are available attempt on learning them from the observations directly with deep neral net (MLP).</w:t>
      </w:r>
      <w:r>
        <w:br/>
      </w:r>
    </w:p>
    <w:p>
      <w:pPr>
        <w:pStyle w:val="Compact"/>
        <w:numPr>
          <w:ilvl w:val="0"/>
          <w:numId w:val="1003"/>
        </w:numPr>
      </w:pPr>
      <w:r>
        <w:rPr>
          <w:b/>
          <w:bCs/>
        </w:rPr>
        <w:t xml:space="preserve">Step 5 [week 9-10]:</w:t>
      </w:r>
      <w:r>
        <w:t xml:space="preserve"> </w:t>
      </w:r>
      <w:r>
        <w:t xml:space="preserve">Design a testing exercise to ensure the calibrated copulas adhere to the specified conditions. Test whether MLP neral net was able to learn specific copula parameters directly from the data.</w:t>
      </w:r>
    </w:p>
    <w:p>
      <w:pPr>
        <w:pStyle w:val="Compact"/>
        <w:numPr>
          <w:ilvl w:val="0"/>
          <w:numId w:val="1003"/>
        </w:numPr>
      </w:pPr>
      <w:r>
        <w:rPr>
          <w:b/>
          <w:bCs/>
        </w:rPr>
        <w:t xml:space="preserve">Step 6 [week 11 +]:</w:t>
      </w:r>
      <w:r>
        <w:t xml:space="preserve"> </w:t>
      </w:r>
      <w:r>
        <w:t xml:space="preserve">Assess obtained results, summarize observations and developed software within the report.</w:t>
      </w:r>
    </w:p>
    <w:bookmarkEnd w:id="27"/>
    <w:bookmarkStart w:id="33" w:name="references"/>
    <w:p>
      <w:pPr>
        <w:pStyle w:val="Heading1"/>
      </w:pPr>
      <w:r>
        <w:t xml:space="preserve">References</w:t>
      </w:r>
    </w:p>
    <w:p>
      <w:pPr>
        <w:numPr>
          <w:ilvl w:val="0"/>
          <w:numId w:val="1004"/>
        </w:numPr>
      </w:pPr>
      <w:r>
        <w:t xml:space="preserve">Jorion P., 2006. Value as Risk: The New Benchmark for Managing Financial Risk. New York: The McGraw-Hill.</w:t>
      </w:r>
    </w:p>
    <w:p>
      <w:pPr>
        <w:numPr>
          <w:ilvl w:val="0"/>
          <w:numId w:val="1004"/>
        </w:numPr>
      </w:pPr>
      <w:r>
        <w:t xml:space="preserve">Cherubini U. et al, 2004. Copula methods in finance. England: Wiley finance.</w:t>
      </w:r>
    </w:p>
    <w:p>
      <w:pPr>
        <w:numPr>
          <w:ilvl w:val="0"/>
          <w:numId w:val="1004"/>
        </w:numPr>
      </w:pPr>
      <w:r>
        <w:t xml:space="preserve">Chollet F., 2021. Deep learning with Python. New York: Manning Publications Co. </w:t>
      </w:r>
    </w:p>
    <w:p>
      <w:pPr>
        <w:numPr>
          <w:ilvl w:val="0"/>
          <w:numId w:val="1004"/>
        </w:numPr>
      </w:pPr>
      <w:r>
        <w:t xml:space="preserve">Acerbi C., Szekely B., 2014. Back-testing expected shortfall. Risk, 27(11):76–81.</w:t>
      </w:r>
    </w:p>
    <w:p>
      <w:pPr>
        <w:numPr>
          <w:ilvl w:val="0"/>
          <w:numId w:val="1004"/>
        </w:numPr>
      </w:pPr>
      <w:r>
        <w:t xml:space="preserve">Cont R. et al, 2022. Tail-GAN: Nonparametric scenario generation for tail risk estimation.</w:t>
      </w:r>
      <w:r>
        <w:t xml:space="preserve"> </w:t>
      </w:r>
      <w:hyperlink r:id="rId28">
        <w:r>
          <w:rPr>
            <w:rStyle w:val="Hyperlink"/>
          </w:rPr>
          <w:t xml:space="preserve">(link)</w:t>
        </w:r>
      </w:hyperlink>
    </w:p>
    <w:p>
      <w:pPr>
        <w:numPr>
          <w:ilvl w:val="0"/>
          <w:numId w:val="1004"/>
        </w:numPr>
      </w:pPr>
      <w:r>
        <w:t xml:space="preserve">Oh D., Patton A., 2015. Modelling dependance in High dimensions with factor copulas.</w:t>
      </w:r>
      <w:r>
        <w:t xml:space="preserve"> </w:t>
      </w:r>
      <w:hyperlink r:id="rId29">
        <w:r>
          <w:rPr>
            <w:rStyle w:val="Hyperlink"/>
          </w:rPr>
          <w:t xml:space="preserve">(link)</w:t>
        </w:r>
      </w:hyperlink>
    </w:p>
    <w:p>
      <w:pPr>
        <w:numPr>
          <w:ilvl w:val="0"/>
          <w:numId w:val="1004"/>
        </w:numPr>
      </w:pPr>
      <w:r>
        <w:t xml:space="preserve">Buhler H., Horvath B., 2021. A data-driven market simulator for small data environments.</w:t>
      </w:r>
      <w:r>
        <w:t xml:space="preserve"> </w:t>
      </w:r>
      <w:hyperlink r:id="rId30">
        <w:r>
          <w:rPr>
            <w:rStyle w:val="Hyperlink"/>
          </w:rPr>
          <w:t xml:space="preserve">(link)</w:t>
        </w:r>
      </w:hyperlink>
    </w:p>
    <w:p>
      <w:pPr>
        <w:numPr>
          <w:ilvl w:val="0"/>
          <w:numId w:val="1004"/>
        </w:numPr>
      </w:pPr>
      <w:r>
        <w:t xml:space="preserve">Horvath B. et al, 2025. Generative Models in Finance: Market Generators, a Paradigm Shift in Financial Modeling.</w:t>
      </w:r>
      <w:hyperlink r:id="rId31">
        <w:r>
          <w:rPr>
            <w:rStyle w:val="Hyperlink"/>
          </w:rPr>
          <w:t xml:space="preserve">(link)</w:t>
        </w:r>
      </w:hyperlink>
    </w:p>
    <w:p>
      <w:pPr>
        <w:numPr>
          <w:ilvl w:val="0"/>
          <w:numId w:val="1004"/>
        </w:numPr>
      </w:pPr>
      <w:r>
        <w:t xml:space="preserve">Hofert M. and Pang Z., 2025. W-transforms: Uniformity-preserving transformations and induced dependence structures.</w:t>
      </w:r>
      <w:hyperlink r:id="rId32">
        <w:r>
          <w:rPr>
            <w:rStyle w:val="Hyperlink"/>
          </w:rPr>
          <w:t xml:space="preserve">(link)</w:t>
        </w:r>
      </w:hyperlink>
    </w:p>
    <w:bookmarkEnd w:id="33"/>
    <w:bookmarkStart w:id="48" w:name="appendixes"/>
    <w:p>
      <w:pPr>
        <w:pStyle w:val="Heading1"/>
      </w:pPr>
      <w:r>
        <w:t xml:space="preserve">Appendixes</w:t>
      </w:r>
    </w:p>
    <w:bookmarkStart w:id="34" w:name="appendix-a-list-of-used-ai-tools"/>
    <w:p>
      <w:pPr>
        <w:pStyle w:val="Heading2"/>
      </w:pPr>
      <w:r>
        <w:t xml:space="preserve">Appendix A: List of used AI tools</w:t>
      </w:r>
    </w:p>
    <w:p>
      <w:pPr>
        <w:pStyle w:val="Compact"/>
        <w:numPr>
          <w:ilvl w:val="0"/>
          <w:numId w:val="1005"/>
        </w:numPr>
      </w:pPr>
      <w:r>
        <w:t xml:space="preserve">Gemini via Google Search;</w:t>
      </w:r>
    </w:p>
    <w:p>
      <w:pPr>
        <w:pStyle w:val="Compact"/>
        <w:numPr>
          <w:ilvl w:val="0"/>
          <w:numId w:val="1005"/>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34"/>
    <w:bookmarkStart w:id="47" w:name="appendix-b-copula-examples"/>
    <w:p>
      <w:pPr>
        <w:pStyle w:val="Heading2"/>
      </w:pPr>
      <w:r>
        <w:t xml:space="preserve">Appendix B: Copula examples</w:t>
      </w:r>
    </w:p>
    <w:p>
      <w:pPr>
        <w:pStyle w:val="FirstParagraph"/>
      </w:pPr>
      <w:r>
        <w:t xml:space="preserve">Gaussian copula.</w:t>
      </w:r>
    </w:p>
    <w:p>
      <w:pPr>
        <w:pStyle w:val="CaptionedFigure"/>
      </w:pPr>
      <w:r>
        <w:drawing>
          <wp:inline>
            <wp:extent cx="5334000" cy="4000499"/>
            <wp:effectExtent b="0" l="0" r="0" t="0"/>
            <wp:docPr descr="Figure 1: Uniform scenarios Gaussian_copula, numerical simulation" title="" id="36" name="Picture"/>
            <a:graphic>
              <a:graphicData uri="http://schemas.openxmlformats.org/drawingml/2006/picture">
                <pic:pic>
                  <pic:nvPicPr>
                    <pic:cNvPr descr="figures\Uniform_scenarios_Gaussian_copula_(numerical_simulation).png" id="37" name="Picture"/>
                    <pic:cNvPicPr>
                      <a:picLocks noChangeArrowheads="1" noChangeAspect="1"/>
                    </pic:cNvPicPr>
                  </pic:nvPicPr>
                  <pic:blipFill>
                    <a:blip r:embed="rId35"/>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1: Uniform scenarios Gaussian_copula, numerical simulation</w:t>
      </w:r>
    </w:p>
    <w:p>
      <w:pPr>
        <w:pStyle w:val="CaptionedFigure"/>
      </w:pPr>
      <w:r>
        <w:drawing>
          <wp:inline>
            <wp:extent cx="5334000" cy="4000499"/>
            <wp:effectExtent b="0" l="0" r="0" t="0"/>
            <wp:docPr descr="Figure 2: Contour plot Gaussian copula, numerical simulation" title="" id="39" name="Picture"/>
            <a:graphic>
              <a:graphicData uri="http://schemas.openxmlformats.org/drawingml/2006/picture">
                <pic:pic>
                  <pic:nvPicPr>
                    <pic:cNvPr descr="figures\Contour_plot_Gaussian_copula_(numerical_simulation).png" id="40" name="Picture"/>
                    <pic:cNvPicPr>
                      <a:picLocks noChangeArrowheads="1" noChangeAspect="1"/>
                    </pic:cNvPicPr>
                  </pic:nvPicPr>
                  <pic:blipFill>
                    <a:blip r:embed="rId38"/>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2: Contour plot Gaussian copula, numerical simulation</w:t>
      </w:r>
    </w:p>
    <w:p>
      <w:pPr>
        <w:pStyle w:val="BodyText"/>
      </w:pPr>
      <w:r>
        <w:t xml:space="preserve">Cauchy copula.</w:t>
      </w:r>
    </w:p>
    <w:p>
      <w:pPr>
        <w:pStyle w:val="CaptionedFigure"/>
      </w:pPr>
      <w:r>
        <w:drawing>
          <wp:inline>
            <wp:extent cx="5334000" cy="4000499"/>
            <wp:effectExtent b="0" l="0" r="0" t="0"/>
            <wp:docPr descr="Figure 3: Uniform scenarios Cauchy copula, numerical simulation" title="" id="42" name="Picture"/>
            <a:graphic>
              <a:graphicData uri="http://schemas.openxmlformats.org/drawingml/2006/picture">
                <pic:pic>
                  <pic:nvPicPr>
                    <pic:cNvPr descr="figures\Uniform_scenarios_Cauchy_copula_(numerical_simulation).png" id="43" name="Picture"/>
                    <pic:cNvPicPr>
                      <a:picLocks noChangeArrowheads="1" noChangeAspect="1"/>
                    </pic:cNvPicPr>
                  </pic:nvPicPr>
                  <pic:blipFill>
                    <a:blip r:embed="rId41"/>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3: Uniform scenarios Cauchy copula, numerical simulation</w:t>
      </w:r>
    </w:p>
    <w:p>
      <w:pPr>
        <w:pStyle w:val="CaptionedFigure"/>
      </w:pPr>
      <w:r>
        <w:drawing>
          <wp:inline>
            <wp:extent cx="5334000" cy="4000499"/>
            <wp:effectExtent b="0" l="0" r="0" t="0"/>
            <wp:docPr descr="Figure 4: Contour plot Cauchy copula, numerical simulation" title="" id="45" name="Picture"/>
            <a:graphic>
              <a:graphicData uri="http://schemas.openxmlformats.org/drawingml/2006/picture">
                <pic:pic>
                  <pic:nvPicPr>
                    <pic:cNvPr descr="figures\Contour_plot_Cauchy_copula_(numerical_simulation).png" id="46" name="Picture"/>
                    <pic:cNvPicPr>
                      <a:picLocks noChangeArrowheads="1" noChangeAspect="1"/>
                    </pic:cNvPicPr>
                  </pic:nvPicPr>
                  <pic:blipFill>
                    <a:blip r:embed="rId4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4: Contour plot Cauchy copula, numerical simulation</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38" Target="media/rId38.png"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13" Target="media/rId13.png" /><Relationship Type="http://schemas.openxmlformats.org/officeDocument/2006/relationships/image" Id="rId41" Target="media/rId41.png" /><Relationship Type="http://schemas.openxmlformats.org/officeDocument/2006/relationships/image" Id="rId35" Target="media/rId35.png" /><Relationship Type="http://schemas.openxmlformats.org/officeDocument/2006/relationships/hyperlink" Id="rId30" Target="https://arxiv.org/abs/2006.14498" TargetMode="External" /><Relationship Type="http://schemas.openxmlformats.org/officeDocument/2006/relationships/hyperlink" Id="rId28" Target="https://arxiv.org/abs/2203.01664" TargetMode="External" /><Relationship Type="http://schemas.openxmlformats.org/officeDocument/2006/relationships/hyperlink" Id="rId32" Target="https://arxiv.org/pdf/2509.26280" TargetMode="External" /><Relationship Type="http://schemas.openxmlformats.org/officeDocument/2006/relationships/hyperlink" Id="rId31" Target="https://papers.ssrn.com/sol3/papers.cfm?abstract_id=5284313" TargetMode="External" /><Relationship Type="http://schemas.openxmlformats.org/officeDocument/2006/relationships/hyperlink" Id="rId29"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30" Target="https://arxiv.org/abs/2006.14498" TargetMode="External" /><Relationship Type="http://schemas.openxmlformats.org/officeDocument/2006/relationships/hyperlink" Id="rId28" Target="https://arxiv.org/abs/2203.01664" TargetMode="External" /><Relationship Type="http://schemas.openxmlformats.org/officeDocument/2006/relationships/hyperlink" Id="rId32" Target="https://arxiv.org/pdf/2509.26280" TargetMode="External" /><Relationship Type="http://schemas.openxmlformats.org/officeDocument/2006/relationships/hyperlink" Id="rId31" Target="https://papers.ssrn.com/sol3/papers.cfm?abstract_id=5284313" TargetMode="External" /><Relationship Type="http://schemas.openxmlformats.org/officeDocument/2006/relationships/hyperlink" Id="rId29"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Modeling High Dimensional Joint Dependency</dc:title>
  <dc:creator>Author: Sergii Arkhypov, Supervisor: Dr Alessandro Provetti</dc:creator>
  <cp:keywords/>
  <dcterms:created xsi:type="dcterms:W3CDTF">2026-04-24T21:56:49Z</dcterms:created>
  <dcterms:modified xsi:type="dcterms:W3CDTF">2026-04-24T21:56:49Z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modelling of high‑dimensional joint dependence among financial risk factors remains a significant major challenge for the financial industry.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modern machine‑learning models to generate realistic joint‑distribution scenarios for up to several hundred risk factors. A proof‑of‑concept Python software implementation will be built to (i) retrieve and cache market data via the Yahoo API, (ii) compute portfolio Value‑at‑Risk (VaR)) using both historical and Monte‑Carlo simulations, and (iii) integrate the calibrated copulas as modular components within the Monte‑Carlo engine. Empirical experiments will assess the impact of copula selection on VaR/ES estimates across a range of selected portfolios, followed by an optimisation routine to fit copula parameters to observed data. Finally, a deep‑neural‑network (MLP)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vt:lpwstr>
  </property>
  <property fmtid="{D5CDD505-2E9C-101B-9397-08002B2CF9AE}" pid="3" name="date">
    <vt:lpwstr>30 September 2026. Word count: 2414</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