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6.png" ContentType="image/png"/>
  <Override PartName="/word/media/rId1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XXX</w:t>
      </w:r>
    </w:p>
    <w:p>
      <w:pPr>
        <w:pStyle w:val="AbstractTitle"/>
      </w:pPr>
      <w:r>
        <w:t xml:space="preserve">Abstract</w:t>
      </w:r>
    </w:p>
    <w:p>
      <w:pPr>
        <w:pStyle w:val="Abstract"/>
      </w:pPr>
      <w:r>
        <w:t xml:space="preserve">xxx to populate 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academic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9"/>
    <w:bookmarkStart w:id="10" w:name="aims-and-objectives"/>
    <w:p>
      <w:pPr>
        <w:pStyle w:val="Heading1"/>
      </w:pPr>
      <w:r>
        <w:t xml:space="preserve">Aims and Objectives</w:t>
      </w:r>
    </w:p>
    <w:p>
      <w:pPr>
        <w:pStyle w:val="FirstParagraph"/>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p>
      <w:pPr>
        <w:pStyle w:val="BodyText"/>
      </w:pPr>
      <w:r>
        <w:t xml:space="preserve">Develop a software application designed for extracting and caching market data, with subsequent incorporation of calculations of portfolio Value-at-Risk (VaR) and Expected Shortfall (ES) measures. To achieve this, implement Monte Carlo simulations using various copulas within the application, in addition to providing support for pure historical calculation methods.</w:t>
      </w:r>
    </w:p>
    <w:p>
      <w:pPr>
        <w:pStyle w:val="BodyText"/>
      </w:pPr>
      <w:r>
        <w:t xml:space="preserve">Upon completion of the initial software development, conduct an experimental analysis to evaluate the impact of copula assumptions on the selected VaR and ES measures across distinct portfolios. Following this, establish a calibration procedure aimed at fitting appropriate copulas to real-world market data. Lastly, devise a testing exercise to verify whether the calibrated copulas align with the prescribed conditions.</w:t>
      </w:r>
    </w:p>
    <w:p>
      <w:pPr>
        <w:pStyle w:val="BodyText"/>
      </w:pPr>
      <w:r>
        <w:t xml:space="preserve">In summary:</w:t>
      </w:r>
    </w:p>
    <w:p>
      <w:pPr>
        <w:pStyle w:val="Compact"/>
        <w:numPr>
          <w:ilvl w:val="0"/>
          <w:numId w:val="1001"/>
        </w:numPr>
      </w:pPr>
      <w:r>
        <w:t xml:space="preserve">Create software for market data extraction and caching.</w:t>
      </w:r>
    </w:p>
    <w:p>
      <w:pPr>
        <w:pStyle w:val="Compact"/>
        <w:numPr>
          <w:ilvl w:val="0"/>
          <w:numId w:val="1001"/>
        </w:numPr>
      </w:pPr>
      <w:r>
        <w:t xml:space="preserve">Implement VaR/ES calculations using Monte Carlo simulations (with various copulas) and historical methods.</w:t>
      </w:r>
    </w:p>
    <w:p>
      <w:pPr>
        <w:pStyle w:val="Compact"/>
        <w:numPr>
          <w:ilvl w:val="0"/>
          <w:numId w:val="1001"/>
        </w:numPr>
      </w:pPr>
      <w:r>
        <w:t xml:space="preserve">Perform an initial experiment to gauge copula impact on selected measures across different portfolios.</w:t>
      </w:r>
    </w:p>
    <w:p>
      <w:pPr>
        <w:pStyle w:val="Compact"/>
        <w:numPr>
          <w:ilvl w:val="0"/>
          <w:numId w:val="1001"/>
        </w:numPr>
      </w:pPr>
      <w:r>
        <w:t xml:space="preserve">Define a machine calibration procedure tailored towards fitting suitable copulas to real-world market data.</w:t>
      </w:r>
    </w:p>
    <w:p>
      <w:pPr>
        <w:pStyle w:val="Compact"/>
        <w:numPr>
          <w:ilvl w:val="0"/>
          <w:numId w:val="1001"/>
        </w:numPr>
      </w:pPr>
      <w:r>
        <w:t xml:space="preserve">Design a testing exercise to ensure the calibrated copulas adhere to the specified conditions.</w:t>
      </w:r>
    </w:p>
    <w:bookmarkEnd w:id="10"/>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1" w:name="X2df427def89a3ef237a42aa6bbd525f6362f6e2"/>
    <w:p>
      <w:pPr>
        <w:pStyle w:val="Heading3"/>
      </w:pPr>
      <w:r>
        <w:t xml:space="preserve">Value-at-risk (VaR) and expected shortfall (ES)</w:t>
      </w:r>
    </w:p>
    <w:p>
      <w:pPr>
        <w:pStyle w:val="FirstParagraph"/>
      </w:pPr>
      <w:r>
        <w:t xml:space="preserve">Based on</w:t>
      </w:r>
      <w:r>
        <w:t xml:space="preserve"> </w:t>
      </w:r>
      <w:hyperlink w:anchor="literature">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literature">
        <w:r>
          <w:rPr>
            <w:rStyle w:val="Hyperlink"/>
          </w:rPr>
          <w:t xml:space="preserve">[4]</w:t>
        </w:r>
      </w:hyperlink>
      <w:r>
        <w:t xml:space="preserve">.</w:t>
      </w:r>
    </w:p>
    <w:bookmarkEnd w:id="11"/>
    <w:bookmarkStart w:id="25" w:name="copulas."/>
    <w:p>
      <w:pPr>
        <w:pStyle w:val="Heading3"/>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p>
      <w:pPr>
        <w:pStyle w:val="FirstParagraph"/>
      </w:pPr>
      <w:r>
        <w:t xml:space="preserve">Gaussian copula.</w:t>
      </w:r>
    </w:p>
    <w:p>
      <w:pPr>
        <w:pStyle w:val="CaptionedFigure"/>
      </w:pPr>
      <w:r>
        <w:drawing>
          <wp:inline>
            <wp:extent cx="5334000" cy="4000499"/>
            <wp:effectExtent b="0" l="0" r="0" t="0"/>
            <wp:docPr descr="Figure 1: Uniform scenarios Gaussian_copula, numerical simulation" title="" id="14" name="Picture"/>
            <a:graphic>
              <a:graphicData uri="http://schemas.openxmlformats.org/drawingml/2006/picture">
                <pic:pic>
                  <pic:nvPicPr>
                    <pic:cNvPr descr="figures\Uniform_scenarios_Gaussian_copula_(numerical_simulation).png" id="15" name="Picture"/>
                    <pic:cNvPicPr>
                      <a:picLocks noChangeArrowheads="1" noChangeAspect="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7" name="Picture"/>
            <a:graphic>
              <a:graphicData uri="http://schemas.openxmlformats.org/drawingml/2006/picture">
                <pic:pic>
                  <pic:nvPicPr>
                    <pic:cNvPr descr="figures\Contour_plot_Gaussian_copula_(numerical_simulation).png" id="18" name="Picture"/>
                    <pic:cNvPicPr>
                      <a:picLocks noChangeArrowheads="1" noChangeAspect="1"/>
                    </pic:cNvPicPr>
                  </pic:nvPicPr>
                  <pic:blipFill>
                    <a:blip r:embed="rId1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334000" cy="4000499"/>
            <wp:effectExtent b="0" l="0" r="0" t="0"/>
            <wp:docPr descr="Figure 3: Uniform scenarios Cauchy copula, numerical simulation" title="" id="20" name="Picture"/>
            <a:graphic>
              <a:graphicData uri="http://schemas.openxmlformats.org/drawingml/2006/picture">
                <pic:pic>
                  <pic:nvPicPr>
                    <pic:cNvPr descr="figures\Uniform_scenarios_Cauchy_copula_(numerical_simulation).png" id="21" name="Picture"/>
                    <pic:cNvPicPr>
                      <a:picLocks noChangeArrowheads="1" noChangeAspect="1"/>
                    </pic:cNvPicPr>
                  </pic:nvPicPr>
                  <pic:blipFill>
                    <a:blip r:embed="rId1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3" name="Picture"/>
            <a:graphic>
              <a:graphicData uri="http://schemas.openxmlformats.org/drawingml/2006/picture">
                <pic:pic>
                  <pic:nvPicPr>
                    <pic:cNvPr descr="figures\Contour_plot_Cauchy_copula_(numerical_simulation).png" id="24" name="Picture"/>
                    <pic:cNvPicPr>
                      <a:picLocks noChangeArrowheads="1" noChangeAspect="1"/>
                    </pic:cNvPicPr>
                  </pic:nvPicPr>
                  <pic:blipFill>
                    <a:blip r:embed="rId2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5"/>
    <w:bookmarkEnd w:id="26"/>
    <w:bookmarkStart w:id="27" w:name="literature-review"/>
    <w:p>
      <w:pPr>
        <w:pStyle w:val="Heading2"/>
      </w:pPr>
      <w:r>
        <w:t xml:space="preserve">Literature review</w:t>
      </w:r>
    </w:p>
    <w:bookmarkEnd w:id="27"/>
    <w:bookmarkEnd w:id="28"/>
    <w:bookmarkStart w:id="29" w:name="methodology-and-methods"/>
    <w:p>
      <w:pPr>
        <w:pStyle w:val="Heading1"/>
      </w:pPr>
      <w:r>
        <w:t xml:space="preserve">Methodology and methods</w:t>
      </w:r>
    </w:p>
    <w:p>
      <w:pPr>
        <w:pStyle w:val="FirstParagraph"/>
      </w:pPr>
      <w:r>
        <w:rPr>
          <w:i/>
          <w:iCs/>
        </w:rPr>
        <w:t xml:space="preserve">provide a diagram that illustrate your approach/data pipeline</w:t>
      </w:r>
      <w:r>
        <w:t xml:space="preserve"> </w:t>
      </w:r>
      <w:r>
        <w:rPr>
          <w:i/>
          <w:iCs/>
        </w:rPr>
        <w:t xml:space="preserve">for each objective you can provide methodology, methods and tools that you will use, and organise this part accordingly</w:t>
      </w:r>
      <w:r>
        <w:t xml:space="preserve"> </w:t>
      </w:r>
      <w:r>
        <w:rPr>
          <w:i/>
          <w:iCs/>
        </w:rPr>
        <w:t xml:space="preserve">difference between an evaluation with respect to how your software performs, versus a critical evaluation where you reflect on your aims and objectives</w:t>
      </w:r>
      <w:r>
        <w:t xml:space="preserve"> </w:t>
      </w:r>
      <w:r>
        <w:rPr>
          <w:i/>
          <w:iCs/>
        </w:rPr>
        <w:t xml:space="preserve">how do you plan to implement it? E.g. if you are using machine learning, you will require a model (explain the structure of the neural network)</w:t>
      </w:r>
    </w:p>
    <w:bookmarkEnd w:id="29"/>
    <w:bookmarkStart w:id="30" w:name="project-development-plan"/>
    <w:p>
      <w:pPr>
        <w:pStyle w:val="Heading1"/>
      </w:pPr>
      <w:r>
        <w:t xml:space="preserve">Project development plan</w:t>
      </w:r>
    </w:p>
    <w:p>
      <w:pPr>
        <w:pStyle w:val="FirstParagraph"/>
      </w:pPr>
      <w:r>
        <w:rPr>
          <w:i/>
          <w:iCs/>
        </w:rPr>
        <w:t xml:space="preserve">you have to convince the marker and the supervisor that you are able to manage your time and juggle two separate concerns: software artefacts (software app, ML models) and final report. Develop a realistic workplan for the project.</w:t>
      </w:r>
    </w:p>
    <w:bookmarkEnd w:id="30"/>
    <w:bookmarkStart w:id="35" w:name="literature"/>
    <w:p>
      <w:pPr>
        <w:pStyle w:val="Heading1"/>
      </w:pPr>
      <w:r>
        <w:t xml:space="preserve">Literature</w:t>
      </w:r>
    </w:p>
    <w:p>
      <w:pPr>
        <w:numPr>
          <w:ilvl w:val="0"/>
          <w:numId w:val="1002"/>
        </w:numPr>
      </w:pPr>
      <w:r>
        <w:t xml:space="preserve">Jorion P., 2006. Value as Risk: The New Benchmark for Managing Financial Risk. New York: The McGraw-Hill.</w:t>
      </w:r>
    </w:p>
    <w:p>
      <w:pPr>
        <w:numPr>
          <w:ilvl w:val="0"/>
          <w:numId w:val="1002"/>
        </w:numPr>
      </w:pPr>
      <w:r>
        <w:t xml:space="preserve">Cherubini U. et al, 2004. Copula methods in finance. England: Wiley finance.</w:t>
      </w:r>
    </w:p>
    <w:p>
      <w:pPr>
        <w:numPr>
          <w:ilvl w:val="0"/>
          <w:numId w:val="1002"/>
        </w:numPr>
      </w:pPr>
      <w:r>
        <w:t xml:space="preserve">Chollet F., 2021. Deep learning with Python. New York: Manning Publications Co. </w:t>
      </w:r>
    </w:p>
    <w:p>
      <w:pPr>
        <w:numPr>
          <w:ilvl w:val="0"/>
          <w:numId w:val="1002"/>
        </w:numPr>
      </w:pPr>
      <w:r>
        <w:t xml:space="preserve">Acerbi C., Szekely B., 2014. Back-testing expected shortfall. Risk, 27(11):76–81.</w:t>
      </w:r>
    </w:p>
    <w:p>
      <w:pPr>
        <w:numPr>
          <w:ilvl w:val="0"/>
          <w:numId w:val="1002"/>
        </w:numPr>
      </w:pPr>
      <w:r>
        <w:t xml:space="preserve">Cont R. et al, 2022. Tail-GAN: Nonparametric scenario generation for tail risk estimation.</w:t>
      </w:r>
      <w:r>
        <w:t xml:space="preserve"> </w:t>
      </w:r>
      <w:hyperlink r:id="rId31">
        <w:r>
          <w:rPr>
            <w:rStyle w:val="Hyperlink"/>
          </w:rPr>
          <w:t xml:space="preserve">(link)</w:t>
        </w:r>
      </w:hyperlink>
    </w:p>
    <w:p>
      <w:pPr>
        <w:numPr>
          <w:ilvl w:val="0"/>
          <w:numId w:val="1002"/>
        </w:numPr>
      </w:pPr>
      <w:r>
        <w:t xml:space="preserve">Oh D., Patton A., 2015. Modelling dependance in High dimensions with factor copulas.</w:t>
      </w:r>
      <w:r>
        <w:t xml:space="preserve"> </w:t>
      </w:r>
      <w:hyperlink r:id="rId32">
        <w:r>
          <w:rPr>
            <w:rStyle w:val="Hyperlink"/>
          </w:rPr>
          <w:t xml:space="preserve">(link)</w:t>
        </w:r>
      </w:hyperlink>
    </w:p>
    <w:p>
      <w:pPr>
        <w:numPr>
          <w:ilvl w:val="0"/>
          <w:numId w:val="1002"/>
        </w:numPr>
      </w:pPr>
      <w:r>
        <w:t xml:space="preserve">Buhler H., Horvath B., 2021. A data-driven market simulator for small data environments.</w:t>
      </w:r>
      <w:r>
        <w:t xml:space="preserve"> </w:t>
      </w:r>
      <w:hyperlink r:id="rId33">
        <w:r>
          <w:rPr>
            <w:rStyle w:val="Hyperlink"/>
          </w:rPr>
          <w:t xml:space="preserve">(link)</w:t>
        </w:r>
      </w:hyperlink>
    </w:p>
    <w:p>
      <w:pPr>
        <w:numPr>
          <w:ilvl w:val="0"/>
          <w:numId w:val="1002"/>
        </w:numPr>
      </w:pPr>
      <w:r>
        <w:t xml:space="preserve">Horvath B. et al, 2025. Generative Models in Finance: Market Generators, a Paradigm Shift in Financial Modeling.</w:t>
      </w:r>
      <w:hyperlink r:id="rId34">
        <w:r>
          <w:rPr>
            <w:rStyle w:val="Hyperlink"/>
          </w:rPr>
          <w:t xml:space="preserve">(link)</w:t>
        </w:r>
      </w:hyperlink>
    </w:p>
    <w:bookmarkEnd w:id="35"/>
    <w:bookmarkStart w:id="37" w:name="appendixes"/>
    <w:p>
      <w:pPr>
        <w:pStyle w:val="Heading1"/>
      </w:pPr>
      <w:r>
        <w:t xml:space="preserve">Appendixes</w:t>
      </w:r>
    </w:p>
    <w:p>
      <w:pPr>
        <w:pStyle w:val="FirstParagraph"/>
      </w:pPr>
      <w:r>
        <w:t xml:space="preserve">See corresponding equation</w:t>
      </w:r>
      <w:r>
        <w:t xml:space="preserve"> </w:t>
      </w:r>
      <w:hyperlink w:anchor="eq1">
        <w:r>
          <w:rPr>
            <w:rStyle w:val="Hyperlink"/>
          </w:rPr>
          <w:t xml:space="preserve">(Eq.1)</w:t>
        </w:r>
      </w:hyperlink>
    </w:p>
    <w:bookmarkStart w:id="36" w:name="appendix-a-list-of-used-ai-tools"/>
    <w:p>
      <w:pPr>
        <w:pStyle w:val="Heading2"/>
      </w:pPr>
      <w:r>
        <w:t xml:space="preserve">Appendix A: List of used AI tools</w:t>
      </w:r>
    </w:p>
    <w:p>
      <w:pPr>
        <w:pStyle w:val="Compact"/>
        <w:numPr>
          <w:ilvl w:val="0"/>
          <w:numId w:val="1003"/>
        </w:numPr>
      </w:pPr>
      <w:r>
        <w:t xml:space="preserve">Gemini via Google Search;</w:t>
      </w:r>
    </w:p>
    <w:p>
      <w:pPr>
        <w:pStyle w:val="Compact"/>
        <w:numPr>
          <w:ilvl w:val="0"/>
          <w:numId w:val="1003"/>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13" Target="media/rId13.png" /><Relationship Type="http://schemas.openxmlformats.org/officeDocument/2006/relationships/hyperlink" Id="rId33" Target="https://arxiv.org/abs/2006.14498" TargetMode="External" /><Relationship Type="http://schemas.openxmlformats.org/officeDocument/2006/relationships/hyperlink" Id="rId31" Target="https://arxiv.org/abs/2203.01664" TargetMode="External" /><Relationship Type="http://schemas.openxmlformats.org/officeDocument/2006/relationships/hyperlink" Id="rId34" Target="https://papers.ssrn.com/sol3/papers.cfm?abstract_id=5284313" TargetMode="External" /><Relationship Type="http://schemas.openxmlformats.org/officeDocument/2006/relationships/hyperlink" Id="rId32"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006.14498" TargetMode="External" /><Relationship Type="http://schemas.openxmlformats.org/officeDocument/2006/relationships/hyperlink" Id="rId31" Target="https://arxiv.org/abs/2203.01664" TargetMode="External" /><Relationship Type="http://schemas.openxmlformats.org/officeDocument/2006/relationships/hyperlink" Id="rId34" Target="https://papers.ssrn.com/sol3/papers.cfm?abstract_id=5284313" TargetMode="External" /><Relationship Type="http://schemas.openxmlformats.org/officeDocument/2006/relationships/hyperlink" Id="rId32"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2026-04-12T20:27:13Z</dcterms:created>
  <dcterms:modified xsi:type="dcterms:W3CDTF">2026-04-12T20:27:13Z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xxx to populate xxx</vt:lpwstr>
  </property>
  <property fmtid="{D5CDD505-2E9C-101B-9397-08002B2CF9AE}" pid="3" name="date">
    <vt:lpwstr>30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