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6.png" ContentType="image/png"/>
  <Override PartName="/word/media/rId25.png" ContentType="image/png"/>
  <Override PartName="/word/media/rId1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9"/>
    <w:bookmarkStart w:id="10" w:name="aims-and-objectives"/>
    <w:p>
      <w:pPr>
        <w:pStyle w:val="Heading1"/>
      </w:pPr>
      <w:r>
        <w:t xml:space="preserve">Aims and Objectives</w:t>
      </w:r>
    </w:p>
    <w:p>
      <w:pPr>
        <w:pStyle w:val="FirstParagraph"/>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p>
      <w:pPr>
        <w:pStyle w:val="BodyText"/>
      </w:pPr>
      <w:r>
        <w:t xml:space="preserve">Develop a software application designed for extracting and caching market data, with subsequent incorporation of calculations of portfolio Value-at-Risk (VaR) and Expected Shortfall (ES) measures. To achieve this, implement Monte Carlo simulations using various copulas within the application, in addition to providing support for pure historical calculation methods.</w:t>
      </w:r>
    </w:p>
    <w:p>
      <w:pPr>
        <w:pStyle w:val="BodyText"/>
      </w:pPr>
      <w:r>
        <w:t xml:space="preserve">Upon completion of the initial software development, conduct an experimental analysis to evaluate the impact of copula assumptions on the selected VaR and ES measures across distinct portfolios. Following this, establish a calibration procedure aimed at fitting appropriate copulas to real-world market data. Lastly, devise a testing exercise to verify whether the calibrated copulas align with the prescribed conditions.</w:t>
      </w:r>
    </w:p>
    <w:p>
      <w:pPr>
        <w:pStyle w:val="BodyText"/>
      </w:pPr>
      <w:r>
        <w:t xml:space="preserve">In summary:</w:t>
      </w:r>
    </w:p>
    <w:p>
      <w:pPr>
        <w:pStyle w:val="Compact"/>
        <w:numPr>
          <w:ilvl w:val="0"/>
          <w:numId w:val="1001"/>
        </w:numPr>
      </w:pPr>
      <w:r>
        <w:t xml:space="preserve">Create software for market data extraction and caching.</w:t>
      </w:r>
    </w:p>
    <w:p>
      <w:pPr>
        <w:pStyle w:val="Compact"/>
        <w:numPr>
          <w:ilvl w:val="0"/>
          <w:numId w:val="1001"/>
        </w:numPr>
      </w:pPr>
      <w:r>
        <w:t xml:space="preserve">Implement VaR/ES calculations using Monte Carlo simulations (with various copulas) and historical methods.</w:t>
      </w:r>
    </w:p>
    <w:p>
      <w:pPr>
        <w:pStyle w:val="Compact"/>
        <w:numPr>
          <w:ilvl w:val="0"/>
          <w:numId w:val="1001"/>
        </w:numPr>
      </w:pPr>
      <w:r>
        <w:t xml:space="preserve">Perform an initial experiment to gauge copula impact on selected measures across different portfolios.</w:t>
      </w:r>
    </w:p>
    <w:p>
      <w:pPr>
        <w:pStyle w:val="Compact"/>
        <w:numPr>
          <w:ilvl w:val="0"/>
          <w:numId w:val="1001"/>
        </w:numPr>
      </w:pPr>
      <w:r>
        <w:t xml:space="preserve">Define a machine calibration procedure tailored towards fitting suitable copulas to real-world market data.</w:t>
      </w:r>
    </w:p>
    <w:p>
      <w:pPr>
        <w:pStyle w:val="Compact"/>
        <w:numPr>
          <w:ilvl w:val="0"/>
          <w:numId w:val="1001"/>
        </w:numPr>
      </w:pPr>
      <w:r>
        <w:t xml:space="preserve">Design a testing exercise to ensure the calibrated copulas adhere to the specified conditions.</w:t>
      </w:r>
    </w:p>
    <w:bookmarkEnd w:id="10"/>
    <w:bookmarkStart w:id="31" w:name="X32b9430d5d15411fac62685483839fe9d87a9a8"/>
    <w:p>
      <w:pPr>
        <w:pStyle w:val="Heading1"/>
      </w:pPr>
      <w:r>
        <w:t xml:space="preserve">Description of the problem and relevant work</w:t>
      </w:r>
    </w:p>
    <w:bookmarkStart w:id="29" w:name="key-concepts"/>
    <w:p>
      <w:pPr>
        <w:pStyle w:val="Heading2"/>
      </w:pPr>
      <w:r>
        <w:t xml:space="preserve">Key concepts</w:t>
      </w:r>
    </w:p>
    <w:bookmarkStart w:id="11" w:name="X2df427def89a3ef237a42aa6bbd525f6362f6e2"/>
    <w:p>
      <w:pPr>
        <w:pStyle w:val="Heading3"/>
      </w:pPr>
      <w:r>
        <w:t xml:space="preserve">Value-at-risk (VaR) and expected shortfall (ES)</w:t>
      </w:r>
    </w:p>
    <w:p>
      <w:pPr>
        <w:pStyle w:val="FirstParagraph"/>
      </w:pPr>
      <w:r>
        <w:t xml:space="preserve">Based on</w:t>
      </w:r>
      <w:r>
        <w:t xml:space="preserve"> </w:t>
      </w:r>
      <w:hyperlink w:anchor="literature">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literature">
        <w:r>
          <w:rPr>
            <w:rStyle w:val="Hyperlink"/>
          </w:rPr>
          <w:t xml:space="preserve">[4]</w:t>
        </w:r>
      </w:hyperlink>
      <w:r>
        <w:t xml:space="preserve">.</w:t>
      </w:r>
    </w:p>
    <w:p>
      <w:pPr>
        <w:pStyle w:val="BodyText"/>
      </w:pPr>
      <w:r>
        <w:t xml:space="preserve">There are several main contesting industry spread approaches for VaR (see</w:t>
      </w:r>
      <w:r>
        <w:t xml:space="preserve"> </w:t>
      </w:r>
      <w:hyperlink w:anchor="literature">
        <w:r>
          <w:rPr>
            <w:rStyle w:val="Hyperlink"/>
          </w:rPr>
          <w:t xml:space="preserve">[1]</w:t>
        </w:r>
      </w:hyperlink>
      <w:r>
        <w:t xml:space="preserve"> </w:t>
      </w:r>
      <w:r>
        <w:t xml:space="preserve">for additional details):</w:t>
      </w:r>
      <w:r>
        <w:br/>
      </w:r>
      <w:r>
        <w:t xml:space="preserve">* Historical Value-at-Risk (HVaR),</w:t>
      </w:r>
      <w:r>
        <w:t xml:space="preserve"> </w:t>
      </w:r>
      <w:r>
        <w:t xml:space="preserve">* Monte Carlo Value-at-Risk (MC VaR),</w:t>
      </w:r>
      <w:r>
        <w:t xml:space="preserve"> </w:t>
      </w:r>
      <w:r>
        <w:t xml:space="preserve">* and their hybrids.</w:t>
      </w:r>
    </w:p>
    <w:p>
      <w:pPr>
        <w:pStyle w:val="BodyText"/>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so the worst observation would correspond to 99.6 % and hence being quite unstable). While HVaR does allow for filtration techniques to refine marginal distributions, this flexibility does not extend to the dependence structure—meaning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structures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assumptions—whether in the choice of distributions, copula functions, or tail decay parameters.</w:t>
      </w:r>
    </w:p>
    <w:bookmarkEnd w:id="11"/>
    <w:bookmarkStart w:id="28"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p>
      <w:pPr>
        <w:pStyle w:val="FirstParagraph"/>
      </w:pPr>
      <w:r>
        <w:t xml:space="preserve">Gaussian copula.</w:t>
      </w:r>
    </w:p>
    <w:p>
      <w:pPr>
        <w:pStyle w:val="CaptionedFigure"/>
      </w:pPr>
      <w:r>
        <w:drawing>
          <wp:inline>
            <wp:extent cx="5334000" cy="4000499"/>
            <wp:effectExtent b="0" l="0" r="0" t="0"/>
            <wp:docPr descr="Figure 1: Uniform scenarios Gaussian_copula, numerical simulation" title="" id="14" name="Picture"/>
            <a:graphic>
              <a:graphicData uri="http://schemas.openxmlformats.org/drawingml/2006/picture">
                <pic:pic>
                  <pic:nvPicPr>
                    <pic:cNvPr descr="figures\Uniform_scenarios_Gaussian_copula_(numerical_simulation).png" id="15" name="Picture"/>
                    <pic:cNvPicPr>
                      <a:picLocks noChangeArrowheads="1" noChangeAspect="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7" name="Picture"/>
            <a:graphic>
              <a:graphicData uri="http://schemas.openxmlformats.org/drawingml/2006/picture">
                <pic:pic>
                  <pic:nvPicPr>
                    <pic:cNvPr descr="figures\Contour_plot_Gaussian_copula_(numerical_simulation).png" id="18" name="Picture"/>
                    <pic:cNvPicPr>
                      <a:picLocks noChangeArrowheads="1" noChangeAspect="1"/>
                    </pic:cNvPicPr>
                  </pic:nvPicPr>
                  <pic:blipFill>
                    <a:blip r:embed="rId1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334000" cy="4000499"/>
            <wp:effectExtent b="0" l="0" r="0" t="0"/>
            <wp:docPr descr="Figure 3: Uniform scenarios Cauchy copula, numerical simulation" title="" id="20" name="Picture"/>
            <a:graphic>
              <a:graphicData uri="http://schemas.openxmlformats.org/drawingml/2006/picture">
                <pic:pic>
                  <pic:nvPicPr>
                    <pic:cNvPr descr="figures\Uniform_scenarios_Cauchy_copula_(numerical_simulation).png" id="21" name="Picture"/>
                    <pic:cNvPicPr>
                      <a:picLocks noChangeArrowheads="1" noChangeAspect="1"/>
                    </pic:cNvPicPr>
                  </pic:nvPicPr>
                  <pic:blipFill>
                    <a:blip r:embed="rId1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3" name="Picture"/>
            <a:graphic>
              <a:graphicData uri="http://schemas.openxmlformats.org/drawingml/2006/picture">
                <pic:pic>
                  <pic:nvPicPr>
                    <pic:cNvPr descr="figures\Contour_plot_Cauchy_copula_(numerical_simulation).png" id="24" name="Picture"/>
                    <pic:cNvPicPr>
                      <a:picLocks noChangeArrowheads="1" noChangeAspect="1"/>
                    </pic:cNvPicPr>
                  </pic:nvPicPr>
                  <pic:blipFill>
                    <a:blip r:embed="rId2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p>
      <w:pPr>
        <w:pStyle w:val="BodyText"/>
      </w:pPr>
      <w:r>
        <w:t xml:space="preserve">The selection of a copula has a profound influence on the assessment of tail‑risk measures such as Value‑at‑Risk (VaR) and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literature">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with an analogous expression for the lower tail. By computing these tail‑dependence coefficients, one can directly compare how different copulas treat extreme co‑movements. The contrast is stark: while a Gaussian copula predicts virtually no joint tail events, a Student‑t assigns a non‑negligible probability to simultaneous extreme losses. This disparity translates into markedly different VaR and ES estimates, especially at the highest percentiles. Consequently, when modelling portfolio risk that is sensitive to rare but severe events, choosing a copula with appropriate tail dependence is essential; otherwise, risk measures such as VaR and 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w:t>
      </w:r>
    </w:p>
    <w:p>
      <w:pPr>
        <w:pStyle w:val="CaptionedFigure"/>
      </w:pPr>
      <w:r>
        <w:drawing>
          <wp:inline>
            <wp:extent cx="5334000" cy="2156297"/>
            <wp:effectExtent b="0" l="0" r="0" t="0"/>
            <wp:docPr descr="Figure 5: Tail dependence for different types of copulas and different number of random variables" title="" id="26" name="Picture"/>
            <a:graphic>
              <a:graphicData uri="http://schemas.openxmlformats.org/drawingml/2006/picture">
                <pic:pic>
                  <pic:nvPicPr>
                    <pic:cNvPr descr="figures\Tail_dependance.png" id="27" name="Picture"/>
                    <pic:cNvPicPr>
                      <a:picLocks noChangeArrowheads="1" noChangeAspect="1"/>
                    </pic:cNvPicPr>
                  </pic:nvPicPr>
                  <pic:blipFill>
                    <a:blip r:embed="rId25"/>
                    <a:stretch>
                      <a:fillRect/>
                    </a:stretch>
                  </pic:blipFill>
                  <pic:spPr bwMode="auto">
                    <a:xfrm>
                      <a:off x="0" y="0"/>
                      <a:ext cx="5334000" cy="2156297"/>
                    </a:xfrm>
                    <a:prstGeom prst="rect">
                      <a:avLst/>
                    </a:prstGeom>
                    <a:noFill/>
                    <a:ln w="9525">
                      <a:noFill/>
                      <a:headEnd/>
                      <a:tailEnd/>
                    </a:ln>
                  </pic:spPr>
                </pic:pic>
              </a:graphicData>
            </a:graphic>
          </wp:inline>
        </w:drawing>
      </w:r>
    </w:p>
    <w:p>
      <w:pPr>
        <w:pStyle w:val="ImageCaption"/>
      </w:pPr>
      <w:r>
        <w:t xml:space="preserve">Figure 5: Tail dependence for different types of copulas and different number of random variables</w:t>
      </w:r>
    </w:p>
    <w:p>
      <w:pPr>
        <w:pStyle w:val="BodyText"/>
      </w:pPr>
      <w:r>
        <w:t xml:space="preserve">The Cauchy copula (equivalently a Student‑t copula with zero degrees of freedom)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p>
      <w:pPr>
        <w:pStyle w:val="BodyText"/>
      </w:pPr>
      <w:r>
        <w:t xml:space="preserve">For a deeper discussion of the Cauchy copula’s properties and its application in risk‑management contexts, see</w:t>
      </w:r>
      <w:r>
        <w:t xml:space="preserve"> </w:t>
      </w:r>
      <w:hyperlink w:anchor="literature">
        <w:r>
          <w:rPr>
            <w:rStyle w:val="Hyperlink"/>
          </w:rPr>
          <w:t xml:space="preserve">[9]</w:t>
        </w:r>
      </w:hyperlink>
      <w:r>
        <w:t xml:space="preserve">.</w:t>
      </w:r>
    </w:p>
    <w:p>
      <w:pPr>
        <w:pStyle w:val="BodyText"/>
      </w:pPr>
      <w:r>
        <w:t xml:space="preserve">[TODO: add skew and sum copula properties - reference Durante!]</w:t>
      </w:r>
    </w:p>
    <w:bookmarkEnd w:id="28"/>
    <w:bookmarkEnd w:id="29"/>
    <w:bookmarkStart w:id="30" w:name="literature-review"/>
    <w:p>
      <w:pPr>
        <w:pStyle w:val="Heading2"/>
      </w:pPr>
      <w:r>
        <w:t xml:space="preserve">Literature review</w:t>
      </w:r>
    </w:p>
    <w:p>
      <w:pPr>
        <w:pStyle w:val="FirstParagraph"/>
      </w:pPr>
      <w:r>
        <w:t xml:space="preserve">[TODO: present articles!!!]</w:t>
      </w:r>
    </w:p>
    <w:p>
      <w:pPr>
        <w:pStyle w:val="BodyText"/>
      </w:pPr>
      <w:r>
        <w:t xml:space="preserve">This analysis prioritizes the generation of extreme market scenarios designed specifically for Market Risk and capital estimation purposes.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w:t>
      </w:r>
    </w:p>
    <w:p>
      <w:pPr>
        <w:pStyle w:val="BodyText"/>
      </w:pPr>
      <w:r>
        <w:t xml:space="preserve">A defining challenge in Market Risk is the need to evaluate the collective behavior of thousands of risk factors simultaneously, a requirement that far exceeds the scope of prior research, where simulations often focused on merely dozens of variables. This study bridges that gap by demonstrating scalability to hundreds or even thousands of risk factors, aligning with the real-world demands of large-scale risk aggregation.</w:t>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bookmarkEnd w:id="30"/>
    <w:bookmarkEnd w:id="31"/>
    <w:bookmarkStart w:id="32" w:name="methodology-and-methods"/>
    <w:p>
      <w:pPr>
        <w:pStyle w:val="Heading1"/>
      </w:pPr>
      <w:r>
        <w:t xml:space="preserve">Methodology and methods</w:t>
      </w:r>
    </w:p>
    <w:p>
      <w:pPr>
        <w:pStyle w:val="FirstParagraph"/>
      </w:pPr>
      <w:r>
        <w:rPr>
          <w:i/>
          <w:iCs/>
        </w:rPr>
        <w:t xml:space="preserve">provide a diagram that illustrate your approach/data pipeline</w:t>
      </w:r>
      <w:r>
        <w:t xml:space="preserve"> </w:t>
      </w:r>
      <w:r>
        <w:rPr>
          <w:i/>
          <w:iCs/>
        </w:rPr>
        <w:t xml:space="preserve">for each objective you can provide methodology, methods and tools that you will use, and organise this part accordingly</w:t>
      </w:r>
      <w:r>
        <w:t xml:space="preserve"> </w:t>
      </w:r>
      <w:r>
        <w:rPr>
          <w:i/>
          <w:iCs/>
        </w:rPr>
        <w:t xml:space="preserve">difference between an evaluation with respect to how your software performs, versus a critical evaluation where you reflect on your aims and objectives</w:t>
      </w:r>
      <w:r>
        <w:t xml:space="preserve"> </w:t>
      </w:r>
      <w:r>
        <w:rPr>
          <w:i/>
          <w:iCs/>
        </w:rPr>
        <w:t xml:space="preserve">how do you plan to implement it? E.g. if you are using machine learning, you will require a model (explain the structure of the neural network)</w:t>
      </w:r>
    </w:p>
    <w:bookmarkEnd w:id="32"/>
    <w:bookmarkStart w:id="33" w:name="project-development-plan"/>
    <w:p>
      <w:pPr>
        <w:pStyle w:val="Heading1"/>
      </w:pPr>
      <w:r>
        <w:t xml:space="preserve">Project development plan</w:t>
      </w:r>
    </w:p>
    <w:p>
      <w:pPr>
        <w:pStyle w:val="FirstParagraph"/>
      </w:pPr>
      <w:r>
        <w:rPr>
          <w:i/>
          <w:iCs/>
        </w:rPr>
        <w:t xml:space="preserve">you have to convince the marker and the supervisor that you are able to manage your time and juggle two separate concerns: software artefacts (software app, ML models) and final report. Develop a realistic workplan for the project.</w:t>
      </w:r>
    </w:p>
    <w:bookmarkEnd w:id="33"/>
    <w:bookmarkStart w:id="38" w:name="literature"/>
    <w:p>
      <w:pPr>
        <w:pStyle w:val="Heading1"/>
      </w:pPr>
      <w:r>
        <w:t xml:space="preserve">Literature</w:t>
      </w:r>
    </w:p>
    <w:p>
      <w:pPr>
        <w:numPr>
          <w:ilvl w:val="0"/>
          <w:numId w:val="1002"/>
        </w:numPr>
      </w:pPr>
      <w:r>
        <w:t xml:space="preserve">Jorion P., 2006. Value as Risk: The New Benchmark for Managing Financial Risk. New York: The McGraw-Hill.</w:t>
      </w:r>
    </w:p>
    <w:p>
      <w:pPr>
        <w:numPr>
          <w:ilvl w:val="0"/>
          <w:numId w:val="1002"/>
        </w:numPr>
      </w:pPr>
      <w:r>
        <w:t xml:space="preserve">Cherubini U. et al, 2004. Copula methods in finance. England: Wiley finance.</w:t>
      </w:r>
    </w:p>
    <w:p>
      <w:pPr>
        <w:numPr>
          <w:ilvl w:val="0"/>
          <w:numId w:val="1002"/>
        </w:numPr>
      </w:pPr>
      <w:r>
        <w:t xml:space="preserve">Chollet F., 2021. Deep learning with Python. New York: Manning Publications Co. </w:t>
      </w:r>
    </w:p>
    <w:p>
      <w:pPr>
        <w:numPr>
          <w:ilvl w:val="0"/>
          <w:numId w:val="1002"/>
        </w:numPr>
      </w:pPr>
      <w:r>
        <w:t xml:space="preserve">Acerbi C., Szekely B., 2014. Back-testing expected shortfall. Risk, 27(11):76–81.</w:t>
      </w:r>
    </w:p>
    <w:p>
      <w:pPr>
        <w:numPr>
          <w:ilvl w:val="0"/>
          <w:numId w:val="1002"/>
        </w:numPr>
      </w:pPr>
      <w:r>
        <w:t xml:space="preserve">Cont R. et al, 2022. Tail-GAN: Nonparametric scenario generation for tail risk estimation.</w:t>
      </w:r>
      <w:r>
        <w:t xml:space="preserve"> </w:t>
      </w:r>
      <w:hyperlink r:id="rId34">
        <w:r>
          <w:rPr>
            <w:rStyle w:val="Hyperlink"/>
          </w:rPr>
          <w:t xml:space="preserve">(link)</w:t>
        </w:r>
      </w:hyperlink>
    </w:p>
    <w:p>
      <w:pPr>
        <w:numPr>
          <w:ilvl w:val="0"/>
          <w:numId w:val="1002"/>
        </w:numPr>
      </w:pPr>
      <w:r>
        <w:t xml:space="preserve">Oh D., Patton A., 2015. Modelling dependance in High dimensions with factor copulas.</w:t>
      </w:r>
      <w:r>
        <w:t xml:space="preserve"> </w:t>
      </w:r>
      <w:hyperlink r:id="rId35">
        <w:r>
          <w:rPr>
            <w:rStyle w:val="Hyperlink"/>
          </w:rPr>
          <w:t xml:space="preserve">(link)</w:t>
        </w:r>
      </w:hyperlink>
    </w:p>
    <w:p>
      <w:pPr>
        <w:numPr>
          <w:ilvl w:val="0"/>
          <w:numId w:val="1002"/>
        </w:numPr>
      </w:pPr>
      <w:r>
        <w:t xml:space="preserve">Buhler H., Horvath B., 2021. A data-driven market simulator for small data environments.</w:t>
      </w:r>
      <w:r>
        <w:t xml:space="preserve"> </w:t>
      </w:r>
      <w:hyperlink r:id="rId36">
        <w:r>
          <w:rPr>
            <w:rStyle w:val="Hyperlink"/>
          </w:rPr>
          <w:t xml:space="preserve">(link)</w:t>
        </w:r>
      </w:hyperlink>
    </w:p>
    <w:p>
      <w:pPr>
        <w:numPr>
          <w:ilvl w:val="0"/>
          <w:numId w:val="1002"/>
        </w:numPr>
      </w:pPr>
      <w:r>
        <w:t xml:space="preserve">Horvath B. et al, 2025. Generative Models in Finance: Market Generators, a Paradigm Shift in Financial Modeling.</w:t>
      </w:r>
      <w:hyperlink r:id="rId37">
        <w:r>
          <w:rPr>
            <w:rStyle w:val="Hyperlink"/>
          </w:rPr>
          <w:t xml:space="preserve">(link)</w:t>
        </w:r>
      </w:hyperlink>
    </w:p>
    <w:p>
      <w:pPr>
        <w:numPr>
          <w:ilvl w:val="0"/>
          <w:numId w:val="1002"/>
        </w:numPr>
      </w:pPr>
      <w:r>
        <w:t xml:space="preserve">Chorniy V. and Arkhypov S., 2025. Extreme VaR, ES and reverse stress testing a catastrophe:</w:t>
      </w:r>
      <w:r>
        <w:t xml:space="preserve"> </w:t>
      </w:r>
      <w:r>
        <w:t xml:space="preserve">projecting gains and losses above 99% for market and counterparty credit risk. Risk Minds International, London.</w:t>
      </w:r>
    </w:p>
    <w:bookmarkEnd w:id="38"/>
    <w:bookmarkStart w:id="40"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39" w:name="appendix-a-list-of-used-ai-tools"/>
    <w:p>
      <w:pPr>
        <w:pStyle w:val="Heading2"/>
      </w:pPr>
      <w:r>
        <w:t xml:space="preserve">Appendix A: List of used AI tools</w:t>
      </w:r>
    </w:p>
    <w:p>
      <w:pPr>
        <w:pStyle w:val="Compact"/>
        <w:numPr>
          <w:ilvl w:val="0"/>
          <w:numId w:val="1003"/>
        </w:numPr>
      </w:pPr>
      <w:r>
        <w:t xml:space="preserve">Gemini via Google Search;</w:t>
      </w:r>
    </w:p>
    <w:p>
      <w:pPr>
        <w:pStyle w:val="Compact"/>
        <w:numPr>
          <w:ilvl w:val="0"/>
          <w:numId w:val="1003"/>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13" Target="media/rId13.png" /><Relationship Type="http://schemas.openxmlformats.org/officeDocument/2006/relationships/hyperlink" Id="rId36" Target="https://arxiv.org/abs/2006.14498" TargetMode="External" /><Relationship Type="http://schemas.openxmlformats.org/officeDocument/2006/relationships/hyperlink" Id="rId34" Target="https://arxiv.org/abs/2203.01664" TargetMode="External" /><Relationship Type="http://schemas.openxmlformats.org/officeDocument/2006/relationships/hyperlink" Id="rId37" Target="https://papers.ssrn.com/sol3/papers.cfm?abstract_id=5284313" TargetMode="External" /><Relationship Type="http://schemas.openxmlformats.org/officeDocument/2006/relationships/hyperlink" Id="rId35"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6" Target="https://arxiv.org/abs/2006.14498" TargetMode="External" /><Relationship Type="http://schemas.openxmlformats.org/officeDocument/2006/relationships/hyperlink" Id="rId34" Target="https://arxiv.org/abs/2203.01664" TargetMode="External" /><Relationship Type="http://schemas.openxmlformats.org/officeDocument/2006/relationships/hyperlink" Id="rId37" Target="https://papers.ssrn.com/sol3/papers.cfm?abstract_id=5284313" TargetMode="External" /><Relationship Type="http://schemas.openxmlformats.org/officeDocument/2006/relationships/hyperlink" Id="rId35"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2026-04-16T20:58:22Z</dcterms:created>
  <dcterms:modified xsi:type="dcterms:W3CDTF">2026-04-16T20:58:22Z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