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Override PartName="/word/media/rId84.png" ContentType="image/png"/>
  <Override PartName="/word/media/rId36.png" ContentType="image/png"/>
  <Override PartName="/word/media/rId33.png" ContentType="image/png"/>
  <Override PartName="/word/media/rId21.png" ContentType="image/png"/>
  <Override PartName="/word/media/rId87.png" ContentType="image/png"/>
  <Override PartName="/word/media/rId81.png" ContentType="image/png"/>
  <Override PartName="/word/media/rId55.png" ContentType="image/png"/>
  <Override PartName="/word/media/rId65.png" ContentType="image/png"/>
  <Override PartName="/word/media/rId59.png" ContentType="image/png"/>
  <Override PartName="/word/media/rId62.png" ContentType="image/png"/>
  <Override PartName="/word/media/rId40.png" ContentType="image/png"/>
  <Override PartName="/word/media/rId49.png" ContentType="image/png"/>
  <Override PartName="/word/media/rId5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w:t>
      </w:r>
      <w:r>
        <w:t xml:space="preserve"> </w:t>
      </w:r>
      <m:oMath>
        <m:r>
          <m:t>t</m:t>
        </m:r>
        <m:r>
          <m:t>h</m:t>
        </m:r>
        <m:r>
          <m:t>e</m:t>
        </m:r>
        <m:r>
          <m:t>t</m:t>
        </m:r>
        <m:r>
          <m:t>a</m:t>
        </m:r>
      </m:oMath>
      <w:r>
        <w:t xml:space="preserve"> </w:t>
      </w:r>
      <w:r>
        <w:t xml:space="preserve">parameter is close to one it has negligible impact on the overall correlation but still introduces required asymmetry at the extreme tails.</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localized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70" w:name="testing-and-evaluation"/>
    <w:p>
      <w:pPr>
        <w:pStyle w:val="Heading1"/>
      </w:pPr>
      <w:r>
        <w:t xml:space="preserve">Testing and Evaluation</w:t>
      </w:r>
    </w:p>
    <w:bookmarkStart w:id="58" w:name="testing-copulas-generation"/>
    <w:p>
      <w:pPr>
        <w:pStyle w:val="Heading2"/>
      </w:pPr>
      <w:r>
        <w:t xml:space="preserve">Testing copulas generation</w:t>
      </w:r>
    </w:p>
    <w:p>
      <w:pPr>
        <w:pStyle w:val="FirstParagraph"/>
      </w:pPr>
      <w:r>
        <w:t xml:space="preserve">To validate the computational implementation of the copula models, we conduct a specialized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visualization is organized into four distinct panels to highlight the behavioral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synchronized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BodyText"/>
      </w:pPr>
      <w:r>
        <w:t xml:space="preserve">To provide further empirical support for the rationale outlined above, we graphically analyse the tail dependence coefficients (see definition in</w:t>
      </w:r>
      <w:r>
        <w:t xml:space="preserve"> </w:t>
      </w:r>
      <w:hyperlink w:anchor="copulas-in-value-at-risk">
        <w:r>
          <w:rPr>
            <w:rStyle w:val="Hyperlink"/>
          </w:rPr>
          <w:t xml:space="preserve">section 3</w:t>
        </w:r>
      </w:hyperlink>
      <w:r>
        <w:t xml:space="preserve">) across a wide range of probability percentiles for each of the evaluated copula models:</w:t>
      </w:r>
    </w:p>
    <w:p>
      <w:pPr>
        <w:pStyle w:val="Compact"/>
        <w:numPr>
          <w:ilvl w:val="0"/>
          <w:numId w:val="1008"/>
        </w:numPr>
      </w:pPr>
      <w:r>
        <w:t xml:space="preserve">Gaussian(top left);</w:t>
      </w:r>
    </w:p>
    <w:p>
      <w:pPr>
        <w:pStyle w:val="Compact"/>
        <w:numPr>
          <w:ilvl w:val="0"/>
          <w:numId w:val="1008"/>
        </w:numPr>
      </w:pPr>
      <w:r>
        <w:t xml:space="preserve">Cauchy (top right);</w:t>
      </w:r>
    </w:p>
    <w:p>
      <w:pPr>
        <w:pStyle w:val="Compact"/>
        <w:numPr>
          <w:ilvl w:val="0"/>
          <w:numId w:val="1008"/>
        </w:numPr>
      </w:pPr>
      <w:r>
        <w:t xml:space="preserve">Mixed Gaussian/Cauchy (bottom left), with 50% weight each;</w:t>
      </w:r>
    </w:p>
    <w:p>
      <w:pPr>
        <w:pStyle w:val="Compact"/>
        <w:numPr>
          <w:ilvl w:val="0"/>
          <w:numId w:val="1008"/>
        </w:numPr>
      </w:pPr>
      <w:r>
        <w:t xml:space="preserve">Skewed Cauchy (bottom right), with skew coefficient of 95%.</w:t>
      </w:r>
    </w:p>
    <w:p>
      <w:pPr>
        <w:pStyle w:val="FirstParagraph"/>
      </w:pPr>
      <w:r>
        <w:t xml:space="preserve">By plotting these coefficients, we can visually quantify the exact degree to which extreme events are correlated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p>
      <w:pPr>
        <w:pStyle w:val="BodyText"/>
      </w:pPr>
      <w:r>
        <w:t xml:space="preserve">Beyond the primary models previously discussed, the analysis must also consider two crucial theoretical boundary cases: the independent copula and the comonotonicity copula. Integrating these theoretical copulas is beneficial as it provides an additional support for the implementation of a sophisticated mixture copula and allows studying extremes. The independent copula models a scenario of absolute zero dependence between variables, reflecting a state of complete market decoupling. Conversely, the comonotonicity copula represents perfect positive dependence, illustrating an extreme environment where all prices move in exact synchronization. By purposefully blending these boundary conditions with standard dependency structures, the system can account for rare but highly impactful shifts in market regimes.</w:t>
      </w:r>
    </w:p>
    <w:p>
      <w:pPr>
        <w:pStyle w:val="BodyText"/>
      </w:pPr>
      <w:r>
        <w:t xml:space="preserve">To practically demonstrate this concept, the current implementation constructs a complex composite mixture that aggregates the Gaussian, Cauchy, independent, and comonotonicity copulas using assigned weights of 50%, 40%, 5%, and 5%, respectively. Inclusion of the minor 5% weights for the independent and comonotonicity copulas ensures that the model reserves a small but vital probability for edge-case scenarios, specifically: moments of total market fragmentation or periods of absolute systemic lockstep during a severe crisis. Use of minor 5% weights also ensures very limited impact on the total Person correlation. Both the independent and comonotonicity copulas can be implemented by leveraging the Gaussian copula with a specific correlation matrix input. In the case of the independent copula, the correlation matrix is constructed such that all elements are zero. Conversely, the comonotonicity case is achieved by setting all elements of the correlation matrix to one.</w:t>
      </w:r>
    </w:p>
    <w:p>
      <w:pPr>
        <w:pStyle w:val="CaptionedFigure"/>
      </w:pPr>
      <w:r>
        <w:drawing>
          <wp:inline>
            <wp:extent cx="4433454" cy="3325090"/>
            <wp:effectExtent b="0" l="0" r="0" t="0"/>
            <wp:docPr descr="Figure 8: Uniform scenarios from composite mixture copula: the Gaussian (50%), Cauchy (40%), independent (5%) and comonotonicity (5%)" title="" id="56" name="Picture"/>
            <a:graphic>
              <a:graphicData uri="http://schemas.openxmlformats.org/drawingml/2006/picture">
                <pic:pic>
                  <pic:nvPicPr>
                    <pic:cNvPr descr="figures\Uniform_scenarios_Mixture_copula_g0.5,c0.4,u0.05,i0.05.png" id="57" name="Picture"/>
                    <pic:cNvPicPr>
                      <a:picLocks noChangeArrowheads="1" noChangeAspect="1"/>
                    </pic:cNvPicPr>
                  </pic:nvPicPr>
                  <pic:blipFill>
                    <a:blip r:embed="rId55"/>
                    <a:stretch>
                      <a:fillRect/>
                    </a:stretch>
                  </pic:blipFill>
                  <pic:spPr bwMode="auto">
                    <a:xfrm>
                      <a:off x="0" y="0"/>
                      <a:ext cx="4433454" cy="3325090"/>
                    </a:xfrm>
                    <a:prstGeom prst="rect">
                      <a:avLst/>
                    </a:prstGeom>
                    <a:noFill/>
                    <a:ln w="9525">
                      <a:noFill/>
                      <a:headEnd/>
                      <a:tailEnd/>
                    </a:ln>
                  </pic:spPr>
                </pic:pic>
              </a:graphicData>
            </a:graphic>
          </wp:inline>
        </w:drawing>
      </w:r>
    </w:p>
    <w:p>
      <w:pPr>
        <w:pStyle w:val="ImageCaption"/>
      </w:pPr>
      <w:r>
        <w:rPr>
          <w:i/>
          <w:iCs/>
        </w:rPr>
        <w:t xml:space="preserve">Figure 8: Uniform scenarios from composite mixture copula: the Gaussian (50%), Cauchy (40%), independent (5%) and comonotonicity (5%)</w:t>
      </w:r>
    </w:p>
    <w:bookmarkEnd w:id="58"/>
    <w:bookmarkStart w:id="68" w:name="testing-value-at-risk-calculation"/>
    <w:p>
      <w:pPr>
        <w:pStyle w:val="Heading2"/>
      </w:pPr>
      <w:r>
        <w:t xml:space="preserve">Testing Value-at-Risk calculation</w:t>
      </w:r>
    </w:p>
    <w:p>
      <w:pPr>
        <w:pStyle w:val="FirstParagraph"/>
      </w:pPr>
      <w:r>
        <w:t xml:space="preserve">In this section, we validate our MC VaR framework by testing how different copula-based dependency structures impact risk estimates at different percentiles. Our methodology involves computing monthly figures for the period spanning from 2020 to 2025, with each value being driven by the preceding twelve months of market data to which it is calibrated. To test the robustness of the implementation, we apply this process to three specific portfolio configurations. The first is a long-only portfolio following the S&amp;P 500 index weights published in February 2026. The second test case consists of a mirror-image short portfolio, which maintains the exact same weight distribution as the long-only portfolio but utilizes inverted signs for all position exposures. Finally, we implement a third</w:t>
      </w:r>
      <w:r>
        <w:t xml:space="preserve"> </w:t>
      </w:r>
      <w:r>
        <w:t xml:space="preserve">“hedged”</w:t>
      </w:r>
      <w:r>
        <w:t xml:space="preserve"> </w:t>
      </w:r>
      <w:r>
        <w:t xml:space="preserve">portfolio by randomly alternating the sign of the positions (long or short) for each stock, thereby creating a portfolio with a randomized, market-neutral exposure.</w:t>
      </w:r>
    </w:p>
    <w:p>
      <w:pPr>
        <w:pStyle w:val="BodyText"/>
      </w:pPr>
      <w:r>
        <w:t xml:space="preserve">The figure presented below shows the evolution of standard 99% VaR (which is commonly utilized for both internal risk management and regulatory capital calculation). It is calculated across the various copula models detailed in the preceding section, specifically including the Gaussian copula, the Cauchy copula, a mixture copula (with weights 40%, 40%, 10%, 10%), and a Skewed Cauchy copula configured with a skewness parameter of 0.95. By comparing these models, one can observe how different dependency and tail assumptions significantly alter the resulting risk estimates. To provide an empirical baseline, the copula-based results are complemented by historical simulations and the parametric dependency structures modelled by the various copulas can be evaluated against the actual realised distributions found in the historical data. By comparing these two approaches, we can assess the extent to which different copula assumptions deviate from or align with observed market realities.</w:t>
      </w:r>
    </w:p>
    <w:p>
      <w:pPr>
        <w:pStyle w:val="CaptionedFigure"/>
      </w:pPr>
      <w:r>
        <w:drawing>
          <wp:inline>
            <wp:extent cx="5024581" cy="5200072"/>
            <wp:effectExtent b="0" l="0" r="0" t="0"/>
            <wp:docPr descr="Figure 9: Monthly 99% HVaR level and MC VaR levels with different copulas from 2020 to 2025 (all long portfolio)" title="" id="60" name="Picture"/>
            <a:graphic>
              <a:graphicData uri="http://schemas.openxmlformats.org/drawingml/2006/picture">
                <pic:pic>
                  <pic:nvPicPr>
                    <pic:cNvPr descr="figures\Var_SP500_LongAll_990u.png" id="61" name="Picture"/>
                    <pic:cNvPicPr>
                      <a:picLocks noChangeArrowheads="1" noChangeAspect="1"/>
                    </pic:cNvPicPr>
                  </pic:nvPicPr>
                  <pic:blipFill>
                    <a:blip r:embed="rId59"/>
                    <a:stretch>
                      <a:fillRect/>
                    </a:stretch>
                  </pic:blipFill>
                  <pic:spPr bwMode="auto">
                    <a:xfrm>
                      <a:off x="0" y="0"/>
                      <a:ext cx="5024581" cy="5200072"/>
                    </a:xfrm>
                    <a:prstGeom prst="rect">
                      <a:avLst/>
                    </a:prstGeom>
                    <a:noFill/>
                    <a:ln w="9525">
                      <a:noFill/>
                      <a:headEnd/>
                      <a:tailEnd/>
                    </a:ln>
                  </pic:spPr>
                </pic:pic>
              </a:graphicData>
            </a:graphic>
          </wp:inline>
        </w:drawing>
      </w:r>
    </w:p>
    <w:p>
      <w:pPr>
        <w:pStyle w:val="ImageCaption"/>
      </w:pPr>
      <w:r>
        <w:rPr>
          <w:i/>
          <w:iCs/>
        </w:rPr>
        <w:t xml:space="preserve">Figure 9: Monthly 99% HVaR level and MC VaR levels with different copulas from 2020 to 2025 (all long portfolio)</w:t>
      </w:r>
    </w:p>
    <w:p>
      <w:pPr>
        <w:pStyle w:val="BodyText"/>
      </w:pPr>
      <w:r>
        <w:t xml:space="preserve">An analysis of the time series data reveals three pronounced humps consistently present across all evaluated VaR methodologies. The synchronised appearance of these elevated risk levels provides some empirical validation for the correctness of the model’s computational implementation, as they accurately reflect the underlying market dynamics during known periods of severe macroeconomic instability. Specifically, these spikes in the VaR estimates directly correspond to major systemic shocks that occurred within the analysed timeframe: the unprecedented global market volatility triggered by the onset of the COVID-19 pandemic, the profound geopolitical turbulence and subsequent commodity crisis stemming from the war in Ukraine, and the sharp economic disruptions caused by the aggressive tariff regimes introduced following</w:t>
      </w:r>
      <w:r>
        <w:t xml:space="preserve"> </w:t>
      </w:r>
      <w:r>
        <w:t xml:space="preserve">“Liberation”</w:t>
      </w:r>
      <w:r>
        <w:t xml:space="preserve"> </w:t>
      </w:r>
      <w:r>
        <w:t xml:space="preserve">day.</w:t>
      </w:r>
    </w:p>
    <w:p>
      <w:pPr>
        <w:pStyle w:val="BodyText"/>
      </w:pPr>
      <w:r>
        <w:t xml:space="preserve">The Historical VaR (HVaR) metric generated exceptionally high value during the onset of the COVID-19 pandemic. However, these extreme peaks are likely overstated due to the methodological limitations of HVaR discussed in</w:t>
      </w:r>
      <w:r>
        <w:t xml:space="preserve"> </w:t>
      </w:r>
      <w:hyperlink w:anchor="X2df427def89a3ef237a42aa6bbd525f6362f6e2">
        <w:r>
          <w:rPr>
            <w:rStyle w:val="Hyperlink"/>
          </w:rPr>
          <w:t xml:space="preserve">section 3</w:t>
        </w:r>
      </w:hyperlink>
      <w:r>
        <w:t xml:space="preserve"> </w:t>
      </w:r>
      <w:r>
        <w:t xml:space="preserve">— most notably its over-reliance on a sparse number of discrete, severe empirical observations without the benefit of structured tail smoothing. Among the parametric MC VaR approaches evaluated, only the framework utilising the Skewed Cauchy copula reaches comparable magnitudes of 99% percentile during these highly volatile periods. By mathematically incorporating left-tail asymmetry and heavy downside dependencies, the Skewed Cauchy model consistently produces the most conservative VaR estimates. In contrast, and perfectly aligning with theoretical expectations, the standard Gaussian copula persistently generates the lowest risk figures across the observation window. This chronic underestimation is a direct consequence of the Gaussian model’s thin-tailed structure and inherent asymptotic independence, which severely restrict its capacity to properly account for the severe, synchronised asset collapses characteristic of genuine market crises.</w:t>
      </w:r>
    </w:p>
    <w:p>
      <w:pPr>
        <w:pStyle w:val="BodyText"/>
      </w:pPr>
      <w:r>
        <w:t xml:space="preserve">To ensure a comprehensive evaluation we provide our analysis of 99% VaR estimates also for a market-neutral hedged portfolio and a strictly short portfolio. By examining these distinct structural configurations, we can rigorously test the robustness and versatility of the various copula methodologies across fundamentally different directional exposures and trading strategies. Furthermore supplementary figures with additional percentiles are detailed in</w:t>
      </w:r>
      <w:r>
        <w:t xml:space="preserve"> </w:t>
      </w:r>
      <w:hyperlink w:anchor="Xd73daa0442857baf747130801d38159e2e997dd">
        <w:r>
          <w:rPr>
            <w:rStyle w:val="Hyperlink"/>
          </w:rPr>
          <w:t xml:space="preserve">Appendix C</w:t>
        </w:r>
      </w:hyperlink>
      <w:r>
        <w:t xml:space="preserve">, offering readers a deeper, more granular insight into the tail risk dynamics under varying market conditions.</w:t>
      </w:r>
    </w:p>
    <w:p>
      <w:pPr>
        <w:pStyle w:val="CaptionedFigure"/>
      </w:pPr>
      <w:r>
        <w:drawing>
          <wp:inline>
            <wp:extent cx="5024581" cy="5200072"/>
            <wp:effectExtent b="0" l="0" r="0" t="0"/>
            <wp:docPr descr="Figure 10: Monthly 99% HVaR level and MC VaR levels with different copulas from 2020 to 2025 (all short portfolio)" title="" id="63" name="Picture"/>
            <a:graphic>
              <a:graphicData uri="http://schemas.openxmlformats.org/drawingml/2006/picture">
                <pic:pic>
                  <pic:nvPicPr>
                    <pic:cNvPr descr="figures\Var_SP500_ShortAll_990.png" id="64" name="Picture"/>
                    <pic:cNvPicPr>
                      <a:picLocks noChangeArrowheads="1" noChangeAspect="1"/>
                    </pic:cNvPicPr>
                  </pic:nvPicPr>
                  <pic:blipFill>
                    <a:blip r:embed="rId62"/>
                    <a:stretch>
                      <a:fillRect/>
                    </a:stretch>
                  </pic:blipFill>
                  <pic:spPr bwMode="auto">
                    <a:xfrm>
                      <a:off x="0" y="0"/>
                      <a:ext cx="5024581" cy="5200072"/>
                    </a:xfrm>
                    <a:prstGeom prst="rect">
                      <a:avLst/>
                    </a:prstGeom>
                    <a:noFill/>
                    <a:ln w="9525">
                      <a:noFill/>
                      <a:headEnd/>
                      <a:tailEnd/>
                    </a:ln>
                  </pic:spPr>
                </pic:pic>
              </a:graphicData>
            </a:graphic>
          </wp:inline>
        </w:drawing>
      </w:r>
    </w:p>
    <w:p>
      <w:pPr>
        <w:pStyle w:val="ImageCaption"/>
      </w:pPr>
      <w:r>
        <w:rPr>
          <w:i/>
          <w:iCs/>
        </w:rPr>
        <w:t xml:space="preserve">Figure 10: Monthly 99% HVaR level and MC VaR levels with different copulas from 2020 to 2025 (all short portfolio)</w:t>
      </w:r>
    </w:p>
    <w:p>
      <w:pPr>
        <w:pStyle w:val="CaptionedFigure"/>
      </w:pPr>
      <w:r>
        <w:drawing>
          <wp:inline>
            <wp:extent cx="5181600" cy="5200072"/>
            <wp:effectExtent b="0" l="0" r="0" t="0"/>
            <wp:docPr descr="Figure 11: Monthly 99% HVaR level and MC VaR levels with different copulas from 2020 to 2025 (hedged portfolio)" title="" id="66" name="Picture"/>
            <a:graphic>
              <a:graphicData uri="http://schemas.openxmlformats.org/drawingml/2006/picture">
                <pic:pic>
                  <pic:nvPicPr>
                    <pic:cNvPr descr="figures\Var_SP500_Hedged_990u.png" id="67" name="Picture"/>
                    <pic:cNvPicPr>
                      <a:picLocks noChangeArrowheads="1" noChangeAspect="1"/>
                    </pic:cNvPicPr>
                  </pic:nvPicPr>
                  <pic:blipFill>
                    <a:blip r:embed="rId65"/>
                    <a:stretch>
                      <a:fillRect/>
                    </a:stretch>
                  </pic:blipFill>
                  <pic:spPr bwMode="auto">
                    <a:xfrm>
                      <a:off x="0" y="0"/>
                      <a:ext cx="5181600" cy="5200072"/>
                    </a:xfrm>
                    <a:prstGeom prst="rect">
                      <a:avLst/>
                    </a:prstGeom>
                    <a:noFill/>
                    <a:ln w="9525">
                      <a:noFill/>
                      <a:headEnd/>
                      <a:tailEnd/>
                    </a:ln>
                  </pic:spPr>
                </pic:pic>
              </a:graphicData>
            </a:graphic>
          </wp:inline>
        </w:drawing>
      </w:r>
    </w:p>
    <w:p>
      <w:pPr>
        <w:pStyle w:val="ImageCaption"/>
      </w:pPr>
      <w:r>
        <w:rPr>
          <w:i/>
          <w:iCs/>
        </w:rPr>
        <w:t xml:space="preserve">Figure 11: Monthly 99% HVaR level and MC VaR levels with different copulas from 2020 to 2025 (hedged portfolio)</w:t>
      </w:r>
    </w:p>
    <w:bookmarkEnd w:id="68"/>
    <w:bookmarkStart w:id="69" w:name="testing-optimisation"/>
    <w:p>
      <w:pPr>
        <w:pStyle w:val="Heading2"/>
      </w:pPr>
      <w:r>
        <w:t xml:space="preserve">Testing optimisation</w:t>
      </w:r>
    </w:p>
    <w:p>
      <w:pPr>
        <w:pStyle w:val="FirstParagraph"/>
      </w:pPr>
      <w:r>
        <w:t xml:space="preserve">xxx</w:t>
      </w:r>
    </w:p>
    <w:bookmarkEnd w:id="69"/>
    <w:bookmarkEnd w:id="70"/>
    <w:bookmarkStart w:id="71" w:name="resultsfindings-and-discussion"/>
    <w:p>
      <w:pPr>
        <w:pStyle w:val="Heading1"/>
      </w:pPr>
      <w:r>
        <w:t xml:space="preserve">Results/Findings and Discussion</w:t>
      </w:r>
    </w:p>
    <w:bookmarkEnd w:id="71"/>
    <w:bookmarkStart w:id="72" w:name="conclusionrecommendationsfuture-work"/>
    <w:p>
      <w:pPr>
        <w:pStyle w:val="Heading1"/>
      </w:pPr>
      <w:r>
        <w:t xml:space="preserve">Conclusion/Recommendations/Future Work</w:t>
      </w:r>
    </w:p>
    <w:bookmarkEnd w:id="72"/>
    <w:bookmarkStart w:id="79" w:name="references"/>
    <w:p>
      <w:pPr>
        <w:pStyle w:val="Heading1"/>
      </w:pPr>
      <w:r>
        <w:t xml:space="preserve">References</w:t>
      </w:r>
    </w:p>
    <w:p>
      <w:pPr>
        <w:numPr>
          <w:ilvl w:val="0"/>
          <w:numId w:val="1009"/>
        </w:numPr>
      </w:pPr>
      <w:r>
        <w:t xml:space="preserve">Jorion P., 2006. Value as Risk: The New Benchmark for Managing Financial Risk. New York: The McGraw-Hill.</w:t>
      </w:r>
    </w:p>
    <w:p>
      <w:pPr>
        <w:numPr>
          <w:ilvl w:val="0"/>
          <w:numId w:val="1009"/>
        </w:numPr>
      </w:pPr>
      <w:r>
        <w:t xml:space="preserve">Cherubini U. et al, 2004. Copula methods in finance. England: Wiley finance.</w:t>
      </w:r>
    </w:p>
    <w:p>
      <w:pPr>
        <w:numPr>
          <w:ilvl w:val="0"/>
          <w:numId w:val="1009"/>
        </w:numPr>
      </w:pPr>
      <w:r>
        <w:t xml:space="preserve">Chollet F., 2021. Deep learning with Python. New York: Manning Publications Co. </w:t>
      </w:r>
    </w:p>
    <w:p>
      <w:pPr>
        <w:numPr>
          <w:ilvl w:val="0"/>
          <w:numId w:val="1009"/>
        </w:numPr>
      </w:pPr>
      <w:r>
        <w:t xml:space="preserve">Acerbi C., Szekely B., 2014. Back-testing expected shortfall. Risk, 27(11):76–81.</w:t>
      </w:r>
    </w:p>
    <w:p>
      <w:pPr>
        <w:numPr>
          <w:ilvl w:val="0"/>
          <w:numId w:val="1009"/>
        </w:numPr>
      </w:pPr>
      <w:r>
        <w:t xml:space="preserve">Cont R. et al, 2022. Tail-GAN: Nonparametric scenario generation for tail risk estimation.</w:t>
      </w:r>
      <w:r>
        <w:t xml:space="preserve"> </w:t>
      </w:r>
      <w:hyperlink r:id="rId73">
        <w:r>
          <w:rPr>
            <w:rStyle w:val="Hyperlink"/>
          </w:rPr>
          <w:t xml:space="preserve">(link)</w:t>
        </w:r>
      </w:hyperlink>
    </w:p>
    <w:p>
      <w:pPr>
        <w:numPr>
          <w:ilvl w:val="0"/>
          <w:numId w:val="1009"/>
        </w:numPr>
      </w:pPr>
      <w:r>
        <w:t xml:space="preserve">Oh D., Patton A., 2015. Modelling dependance in High dimensions with factor copulas.</w:t>
      </w:r>
      <w:r>
        <w:t xml:space="preserve"> </w:t>
      </w:r>
      <w:hyperlink r:id="rId74">
        <w:r>
          <w:rPr>
            <w:rStyle w:val="Hyperlink"/>
          </w:rPr>
          <w:t xml:space="preserve">(link)</w:t>
        </w:r>
      </w:hyperlink>
    </w:p>
    <w:p>
      <w:pPr>
        <w:numPr>
          <w:ilvl w:val="0"/>
          <w:numId w:val="1009"/>
        </w:numPr>
      </w:pPr>
      <w:r>
        <w:t xml:space="preserve">Buhler H., Horvath B., 2021. A data-driven market simulator for small data environments.</w:t>
      </w:r>
      <w:r>
        <w:t xml:space="preserve"> </w:t>
      </w:r>
      <w:hyperlink r:id="rId75">
        <w:r>
          <w:rPr>
            <w:rStyle w:val="Hyperlink"/>
          </w:rPr>
          <w:t xml:space="preserve">(link)</w:t>
        </w:r>
      </w:hyperlink>
    </w:p>
    <w:p>
      <w:pPr>
        <w:numPr>
          <w:ilvl w:val="0"/>
          <w:numId w:val="1009"/>
        </w:numPr>
      </w:pPr>
      <w:r>
        <w:t xml:space="preserve">Horvath B. et al, 2025. Generative Models in Finance: Market Generators, a Paradigm Shift in Financial Modeling.</w:t>
      </w:r>
      <w:hyperlink r:id="rId76">
        <w:r>
          <w:rPr>
            <w:rStyle w:val="Hyperlink"/>
          </w:rPr>
          <w:t xml:space="preserve">(link)</w:t>
        </w:r>
      </w:hyperlink>
    </w:p>
    <w:p>
      <w:pPr>
        <w:numPr>
          <w:ilvl w:val="0"/>
          <w:numId w:val="1009"/>
        </w:numPr>
      </w:pPr>
      <w:r>
        <w:t xml:space="preserve">Hofert M. and Pang Z., 2025. W-transforms: Uniformity-preserving transformations and induced dependence structures.</w:t>
      </w:r>
      <w:hyperlink r:id="rId77">
        <w:r>
          <w:rPr>
            <w:rStyle w:val="Hyperlink"/>
          </w:rPr>
          <w:t xml:space="preserve">(link)</w:t>
        </w:r>
      </w:hyperlink>
    </w:p>
    <w:p>
      <w:pPr>
        <w:numPr>
          <w:ilvl w:val="0"/>
          <w:numId w:val="1009"/>
        </w:numPr>
      </w:pPr>
      <w:r>
        <w:t xml:space="preserve">Geron A., 2019. Hands-On Machine Learning with Scikit-Learn, Keras, and TensorFlow: Concepts, Tools, and Techniques to Build Intelligent Systems. Sebastopol: O’Reilly Media. 2nd Edition.</w:t>
      </w:r>
    </w:p>
    <w:p>
      <w:pPr>
        <w:numPr>
          <w:ilvl w:val="0"/>
          <w:numId w:val="1009"/>
        </w:numPr>
      </w:pPr>
      <w:r>
        <w:t xml:space="preserve">Scikit-optimize contributors, 2017 - 2020. User Guide.</w:t>
      </w:r>
      <w:hyperlink r:id="rId78">
        <w:r>
          <w:rPr>
            <w:rStyle w:val="Hyperlink"/>
          </w:rPr>
          <w:t xml:space="preserve">(link)</w:t>
        </w:r>
      </w:hyperlink>
    </w:p>
    <w:bookmarkEnd w:id="79"/>
    <w:bookmarkStart w:id="96" w:name="appendixes"/>
    <w:p>
      <w:pPr>
        <w:pStyle w:val="Heading1"/>
      </w:pPr>
      <w:r>
        <w:t xml:space="preserve">Appendixes</w:t>
      </w:r>
    </w:p>
    <w:bookmarkStart w:id="80" w:name="appendix-a-list-of-used-ai-tools"/>
    <w:p>
      <w:pPr>
        <w:pStyle w:val="Heading2"/>
      </w:pPr>
      <w:r>
        <w:t xml:space="preserve">Appendix A: List of used AI tools</w:t>
      </w:r>
    </w:p>
    <w:p>
      <w:pPr>
        <w:pStyle w:val="Compact"/>
        <w:numPr>
          <w:ilvl w:val="0"/>
          <w:numId w:val="1010"/>
        </w:numPr>
      </w:pPr>
      <w:r>
        <w:t xml:space="preserve">Gemini via Google Search and as a chatbot;</w:t>
      </w:r>
    </w:p>
    <w:p>
      <w:pPr>
        <w:pStyle w:val="Compact"/>
        <w:numPr>
          <w:ilvl w:val="0"/>
          <w:numId w:val="1010"/>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80"/>
    <w:bookmarkStart w:id="93"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82" name="Picture"/>
            <a:graphic>
              <a:graphicData uri="http://schemas.openxmlformats.org/drawingml/2006/picture">
                <pic:pic>
                  <pic:nvPicPr>
                    <pic:cNvPr descr="figures\Uniform_scenarios_Gaussian_copula_(numerical_simulation).png" id="83" name="Picture"/>
                    <pic:cNvPicPr>
                      <a:picLocks noChangeArrowheads="1" noChangeAspect="1"/>
                    </pic:cNvPicPr>
                  </pic:nvPicPr>
                  <pic:blipFill>
                    <a:blip r:embed="rId81"/>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85" name="Picture"/>
            <a:graphic>
              <a:graphicData uri="http://schemas.openxmlformats.org/drawingml/2006/picture">
                <pic:pic>
                  <pic:nvPicPr>
                    <pic:cNvPr descr="figures\Contour_plot_Gaussian_copula_(numerical_simulation).png" id="86" name="Picture"/>
                    <pic:cNvPicPr>
                      <a:picLocks noChangeArrowheads="1" noChangeAspect="1"/>
                    </pic:cNvPicPr>
                  </pic:nvPicPr>
                  <pic:blipFill>
                    <a:blip r:embed="rId8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88" name="Picture"/>
            <a:graphic>
              <a:graphicData uri="http://schemas.openxmlformats.org/drawingml/2006/picture">
                <pic:pic>
                  <pic:nvPicPr>
                    <pic:cNvPr descr="figures\Uniform_scenarios_Cauchy_copula_(numerical_simulation).png" id="89" name="Picture"/>
                    <pic:cNvPicPr>
                      <a:picLocks noChangeArrowheads="1" noChangeAspect="1"/>
                    </pic:cNvPicPr>
                  </pic:nvPicPr>
                  <pic:blipFill>
                    <a:blip r:embed="rId8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91" name="Picture"/>
            <a:graphic>
              <a:graphicData uri="http://schemas.openxmlformats.org/drawingml/2006/picture">
                <pic:pic>
                  <pic:nvPicPr>
                    <pic:cNvPr descr="figures\Contour_plot_Cauchy_copula_(numerical_simulation).png" id="92" name="Picture"/>
                    <pic:cNvPicPr>
                      <a:picLocks noChangeArrowheads="1" noChangeAspect="1"/>
                    </pic:cNvPicPr>
                  </pic:nvPicPr>
                  <pic:blipFill>
                    <a:blip r:embed="rId9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93"/>
    <w:bookmarkStart w:id="94" w:name="Xd73daa0442857baf747130801d38159e2e997dd"/>
    <w:p>
      <w:pPr>
        <w:pStyle w:val="Heading2"/>
      </w:pPr>
      <w:r>
        <w:t xml:space="preserve">Appendix C: Analysis of different VaR methodologies from 2020 to 2025</w:t>
      </w:r>
    </w:p>
    <w:bookmarkEnd w:id="94"/>
    <w:bookmarkStart w:id="95" w:name="appendix-d-code-listing"/>
    <w:p>
      <w:pPr>
        <w:pStyle w:val="Heading2"/>
      </w:pPr>
      <w:r>
        <w:t xml:space="preserve">Appendix D: Code listing</w:t>
      </w:r>
    </w:p>
    <w:bookmarkEnd w:id="95"/>
    <w:bookmarkEnd w:id="96"/>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90" Target="media/rId90.png" /><Relationship Type="http://schemas.openxmlformats.org/officeDocument/2006/relationships/image" Id="rId84" Target="media/rId84.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87" Target="media/rId87.png" /><Relationship Type="http://schemas.openxmlformats.org/officeDocument/2006/relationships/image" Id="rId81" Target="media/rId81.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hyperlink" Id="rId75" Target="https://arxiv.org/abs/2006.14498" TargetMode="External" /><Relationship Type="http://schemas.openxmlformats.org/officeDocument/2006/relationships/hyperlink" Id="rId73" Target="https://arxiv.org/abs/2203.01664" TargetMode="External" /><Relationship Type="http://schemas.openxmlformats.org/officeDocument/2006/relationships/hyperlink" Id="rId77" Target="https://arxiv.org/pdf/2509.26280" TargetMode="External" /><Relationship Type="http://schemas.openxmlformats.org/officeDocument/2006/relationships/hyperlink" Id="rId76" Target="https://papers.ssrn.com/sol3/papers.cfm?abstract_id=5284313" TargetMode="External" /><Relationship Type="http://schemas.openxmlformats.org/officeDocument/2006/relationships/hyperlink" Id="rId78" Target="https://scikit-optimize.github.io/stable/" TargetMode="External" /><Relationship Type="http://schemas.openxmlformats.org/officeDocument/2006/relationships/hyperlink" Id="rId74"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75" Target="https://arxiv.org/abs/2006.14498" TargetMode="External" /><Relationship Type="http://schemas.openxmlformats.org/officeDocument/2006/relationships/hyperlink" Id="rId73" Target="https://arxiv.org/abs/2203.01664" TargetMode="External" /><Relationship Type="http://schemas.openxmlformats.org/officeDocument/2006/relationships/hyperlink" Id="rId77" Target="https://arxiv.org/pdf/2509.26280" TargetMode="External" /><Relationship Type="http://schemas.openxmlformats.org/officeDocument/2006/relationships/hyperlink" Id="rId76" Target="https://papers.ssrn.com/sol3/papers.cfm?abstract_id=5284313" TargetMode="External" /><Relationship Type="http://schemas.openxmlformats.org/officeDocument/2006/relationships/hyperlink" Id="rId78" Target="https://scikit-optimize.github.io/stable/" TargetMode="External" /><Relationship Type="http://schemas.openxmlformats.org/officeDocument/2006/relationships/hyperlink" Id="rId74"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2026-07-28T22:15:02Z</dcterms:created>
  <dcterms:modified xsi:type="dcterms:W3CDTF">2026-07-28T22:15:02Z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