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46.png" ContentType="image/png"/>
  <Override PartName="/word/media/rId31.png" ContentType="image/png"/>
  <Override PartName="/word/media/rId28.png" ContentType="image/png"/>
  <Override PartName="/word/media/rId21.png" ContentType="image/png"/>
  <Override PartName="/word/media/rId4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2414</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modern machine‑learning models to generate realistic joint‑distribution scenarios for up to several hundred risk factors. A proof‑of‑concept Python software implementation will be built to (i) retrieve and cache market data via the Yahoo API, (ii) compute portfolio Value‑at‑Risk (VaR)) using both historical and Monte‑Carlo simulations, and (iii) integrate the calibrated copulas as modular components within the Monte‑Carlo engine. Empirical experiments will assess the impact of copula selection on VaR/ES estimates across a range of selected portfolios, followed by an optimisation routine to fit copula parameters to observed data. Finally, a deep‑neural‑network (MLP)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w:t>
      </w:r>
    </w:p>
    <w:bookmarkEnd w:id="17"/>
    <w:bookmarkStart w:id="18" w:name="aims-and-objectives"/>
    <w:p>
      <w:pPr>
        <w:pStyle w:val="Heading1"/>
      </w:pPr>
      <w:r>
        <w:t xml:space="preserve">Aims and Objectives</w:t>
      </w:r>
    </w:p>
    <w:p>
      <w:pPr>
        <w:pStyle w:val="FirstParagraph"/>
      </w:pPr>
      <w:r>
        <w:t xml:space="preserve">The main aim of this work would be to develop an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illustrate and test the results project will also require to develop a software application designed for extracting and caching market data, with subsequent incorporation of calculations of portfolio Value-at-Risk (VaR) and/or Expected Shortfall (ES) measures. To achieve this, implement Monte Carlo simulations using various copulas within the application, in addition to providing support for the pure historical calculation methods (which can serve as a benchmark).</w:t>
      </w:r>
    </w:p>
    <w:p>
      <w:pPr>
        <w:pStyle w:val="BodyText"/>
      </w:pPr>
      <w:r>
        <w:t xml:space="preserve">Upon completion of the initial software development, conduct an experimental analysis to evaluate the impact of copula assumptions on the selected VaR / ES measures across distinct portfolios. Following this, establish a calibration procedure aimed at fitting appropriate copulas to real-world market data. Lastly, devise a testing exercise to verify whether the calibrated copulas align with the prescribed conditions.</w:t>
      </w:r>
    </w:p>
    <w:bookmarkEnd w:id="18"/>
    <w:bookmarkStart w:id="27" w:name="X32b9430d5d15411fac62685483839fe9d87a9a8"/>
    <w:p>
      <w:pPr>
        <w:pStyle w:val="Heading1"/>
      </w:pPr>
      <w:r>
        <w:t xml:space="preserve">Description of the problem and relevant work</w:t>
      </w:r>
    </w:p>
    <w:bookmarkStart w:id="25"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Based on</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loses over the target horizon. In simple terms it summarizes the worst loss that will not be exceeded with a given level of confidence.</w:t>
      </w:r>
    </w:p>
    <w:p>
      <w:pPr>
        <w:pStyle w:val="BodyText"/>
      </w:pPr>
      <m:oMathPara>
        <m:oMathParaPr>
          <m:jc m:val="center"/>
        </m:oMathParaPr>
        <m:oMath>
          <m:sSub>
            <m:e>
              <m:r>
                <m:rPr>
                  <m:nor/>
                  <m:sty m:val="p"/>
                </m:rPr>
                <m:t>VaR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r>
            <m:t>1</m:t>
          </m:r>
          <m:r>
            <m:rPr>
              <m:sty m:val="p"/>
            </m:rPr>
            <m:t>/</m:t>
          </m:r>
          <m:r>
            <m:rPr>
              <m:sty m:val="p"/>
            </m:rPr>
            <m:t>(</m:t>
          </m:r>
          <m:r>
            <m:t>1</m:t>
          </m:r>
          <m:r>
            <m:rPr>
              <m:sty m:val="p"/>
            </m:rPr>
            <m:t>−</m:t>
          </m:r>
          <m:r>
            <m:t>α</m:t>
          </m:r>
          <m:r>
            <m:rPr>
              <m:sty m:val="p"/>
            </m:rPr>
            <m:t>)</m:t>
          </m:r>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oMath>
      </m:oMathPara>
    </w:p>
    <w:p>
      <w:pPr>
        <w:pStyle w:val="FirstParagraph"/>
      </w:pPr>
      <w:r>
        <w:t xml:space="preserve">Additional details and relevant industry discussion about ES are available in</w:t>
      </w:r>
      <w:r>
        <w:t xml:space="preserve"> </w:t>
      </w:r>
      <w:hyperlink w:anchor="references">
        <w:r>
          <w:rPr>
            <w:rStyle w:val="Hyperlink"/>
          </w:rPr>
          <w:t xml:space="preserve">[4]</w:t>
        </w:r>
      </w:hyperlink>
      <w:r>
        <w:t xml:space="preserve">.</w:t>
      </w:r>
    </w:p>
    <w:p>
      <w:pPr>
        <w:pStyle w:val="BodyText"/>
      </w:pPr>
      <w:r>
        <w:t xml:space="preserve">There are several main contesting industry spread approaches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w:t>
      </w:r>
    </w:p>
    <w:p>
      <w:pPr>
        <w:pStyle w:val="Compact"/>
        <w:numPr>
          <w:ilvl w:val="0"/>
          <w:numId w:val="1001"/>
        </w:numPr>
      </w:pPr>
      <w:r>
        <w:t xml:space="preserve">and 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 While HVaR does allow for filtration techniques to refine marginal distributions, this flexibility does not extend to the dependence structure, meaning it cannot effectively separate the modelling of marginals from the copula that links them. As a result, the approach struggles to capture complex joint behaviors in a structured way. Another related critical drawback is the high numerical error associated with HVaR, stemming from the finite and often sparse nature of historical data, especially in the tails. On the other hand, the relative strength of the method is its low model error, since it does not impose strong parametric assumptions but instead directly uses empirical distributions. This makes it robust in scenarios where the true data-generating process is unknown (and a good benchmark), though at the cost of precision in extreme quantiles.</w:t>
      </w:r>
    </w:p>
    <w:p>
      <w:pPr>
        <w:pStyle w:val="BodyText"/>
      </w:pPr>
      <w:r>
        <w:t xml:space="preserve">In contrast, Monte Carlo Value-at-Risk (MC VaR), whether based on parametric assumptions or Extreme Value Theory (EVT), offers distinct advantages for high-percentile risk estimation. 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 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 However, this precision comes at the expense of higher model error, particularly when parametric assumptions are misspecified or when EVT extrapolations deviate from true tail behavior. While these methods provide greater control and extensibility in extreme 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the impacts it could have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uniform marginals.</w:t>
      </w:r>
    </w:p>
    <w:p>
      <w:pPr>
        <w:pStyle w:val="BodyText"/>
      </w:pPr>
      <w:r>
        <w:t xml:space="preserve">Sklar’s theorem.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r>
        <w:t xml:space="preserve"> </w:t>
      </w:r>
      <w:r>
        <w:t xml:space="preserve">[</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oMath>
      </m:oMathPara>
    </w:p>
    <w:p>
      <w:pPr>
        <w:pStyle w:val="FirstParagraph"/>
      </w:pPr>
      <w:r>
        <w:t xml:space="preserve">]</w:t>
      </w:r>
    </w:p>
    <w:p>
      <w:pPr>
        <w:pStyle w:val="BodyText"/>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the copulas which will be significant for the current project:</w:t>
      </w:r>
    </w:p>
    <w:p>
      <w:pPr>
        <w:numPr>
          <w:ilvl w:val="0"/>
          <w:numId w:val="1002"/>
        </w:numPr>
      </w:pPr>
      <w:r>
        <w:t xml:space="preserve">A convex combination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oMath>
      <w:r>
        <w:t xml:space="preserve">.</w:t>
      </w:r>
    </w:p>
    <w:p>
      <w:pPr>
        <w:numPr>
          <w:ilvl w:val="0"/>
          <w:numId w:val="1002"/>
        </w:numPr>
      </w:pPr>
      <w:r>
        <w:t xml:space="preserve">Exists a set of functions (W-transforms) applied to copula and also returning copula but with modified properties. For additional details on these transformations and their properties please see</w:t>
      </w:r>
      <w:r>
        <w:t xml:space="preserve"> </w:t>
      </w:r>
      <w:hyperlink w:anchor="references">
        <w:r>
          <w:rPr>
            <w:rStyle w:val="Hyperlink"/>
          </w:rPr>
          <w:t xml:space="preserve">[9]</w:t>
        </w:r>
      </w:hyperlink>
      <w:r>
        <w:t xml:space="preserve">.</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 This influence becomes increasingly pronounced as we move to more extreme quantiles (e.g. 99 % and 99.9 % VaR). 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 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oMath>
      </m:oMathPara>
    </w:p>
    <w:p>
      <w:pPr>
        <w:pStyle w:val="FirstParagraph"/>
      </w:pPr>
      <w:r>
        <w:t xml:space="preserve">By computing these tail‑dependence coefficients, one can directly compare how different copulas treat extreme co‑movements. The contrast is stark: while a Gaussian copula predicts virtually no joint tail events, for example Cauchy (Student-T with zero degrees of freedom) assigns a non‑negligible probability to simultaneous extreme losses. 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 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Figures below compare historically observed tail dependence (the orange line) with the one of Gaussian and Cauchy copulas i.e. Student-T with zero degrees of freedom (the blue and green lines respectively). The vertical axis measures tail dependence, while the horizontal axis displays the chosen percentile. As the graphs reveal, the discrepancy between the observed and Gaussian tail dependence expands significantly when more risk factors considered together.</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p>
      <w:pPr>
        <w:pStyle w:val="BodyText"/>
      </w:pPr>
      <w:r>
        <w:t xml:space="preserve">The Cauchy copula is a statistical technique for capturing dependence structures, especially when modelling tail‑risk or extreme events. Its principal advantage lies in preserving the overall correlation matrix of the underlying variables while simultaneously enabling the generation of scenarios that exhibit much heavier tails (joint‑movement) and de-correlation. 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 In other words, the usual together‑ness of the data breaks down. A classic illustration comes from equity markets: two stocks that historically track each other e.g. because they belong to the same industry, may abruptly move in opposite directions during a stress event. For example, Apple vs. Microsoft - Apple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shared extreme driver. Think of a severe natural disaster that simultaneously spikes commodity prices or a sovereign default that forces both sovereign bond yields and the domestic currency to deteriorate together. In these cases the common shock creates a temporary, high‑intensity dependence that standard correlation estimates fail to capture.</w:t>
      </w:r>
    </w:p>
    <w:p>
      <w:pPr>
        <w:pStyle w:val="BodyText"/>
      </w:pPr>
      <w:r>
        <w:t xml:space="preserve">Both types of scenarios are crucial for robust risk assessment. De‑correlation highlights the risk of assets that are supposed to hedge each other stop doing so, while joint‑movement emphasizes the danger of hidden tail‑dependence that can generate simultaneous losses across seemingly unrelated positions. Modelling frameworks that can generate both behaviors, provide a more realistic picture of potential extreme outcomes than approaches that rely solely on historic linear correlations.</w:t>
      </w:r>
    </w:p>
    <w:bookmarkEnd w:id="24"/>
    <w:bookmarkEnd w:id="25"/>
    <w:bookmarkStart w:id="26"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w:t>
      </w:r>
      <w:r>
        <w:t xml:space="preserve"> </w:t>
      </w:r>
      <w:hyperlink w:anchor="references">
        <w:r>
          <w:rPr>
            <w:rStyle w:val="Hyperlink"/>
          </w:rPr>
          <w:t xml:space="preserve">[5]</w:t>
        </w:r>
      </w:hyperlink>
      <w:r>
        <w:t xml:space="preserve"> </w:t>
      </w:r>
      <w:r>
        <w:t xml:space="preserve">for examples and implementation) architectures, though even these approaches remain constrained to relatively low-dimensional environments (e.g.,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and the scalability of copulas by developing a high-dimensional copula model capable of capturing historical tail dependence properties. The ultimate goal is to generate realistic extreme scenarios that reflect the complex dependencies observed in financial markets.</w:t>
      </w:r>
    </w:p>
    <w:bookmarkEnd w:id="26"/>
    <w:bookmarkEnd w:id="27"/>
    <w:bookmarkStart w:id="34"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 changing portfolios (i.e. dynamic trading strategies), limiting portfolio dimension optimization to static. Portfolios of approx. 500 names with all long positions and 500 long/short hedged positions will be used in this study.</w:t>
      </w:r>
    </w:p>
    <w:p>
      <w:pPr>
        <w:pStyle w:val="BodyText"/>
      </w:pPr>
      <w:r>
        <w:t xml:space="preserve">Figure below presents overall workflow of the project aiming at calibrating copula to historical timeseries related to the list of selected portfolios.</w:t>
      </w:r>
    </w:p>
    <w:p>
      <w:pPr>
        <w:pStyle w:val="CaptionedFigure"/>
      </w:pPr>
      <w:r>
        <w:drawing>
          <wp:inline>
            <wp:extent cx="5943600" cy="2402731"/>
            <wp:effectExtent b="0" l="0" r="0" t="0"/>
            <wp:docPr descr="Figure 2: Copula calibration workflow" title="" id="29" name="Picture"/>
            <a:graphic>
              <a:graphicData uri="http://schemas.openxmlformats.org/drawingml/2006/picture">
                <pic:pic>
                  <pic:nvPicPr>
                    <pic:cNvPr descr="figures\Project-workflow-high.png" id="30" name="Picture"/>
                    <pic:cNvPicPr>
                      <a:picLocks noChangeArrowheads="1" noChangeAspect="1"/>
                    </pic:cNvPicPr>
                  </pic:nvPicPr>
                  <pic:blipFill>
                    <a:blip r:embed="rId28"/>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2: Copula calibration workflow</w:t>
      </w:r>
    </w:p>
    <w:p>
      <w:pPr>
        <w:pStyle w:val="BodyText"/>
      </w:pPr>
      <w:r>
        <w:t xml:space="preserve">It is further detailed in the next figure, which illustrates the cumulative process of constructing different time series based on the observed history and representing required data transformations.</w:t>
      </w:r>
    </w:p>
    <w:p>
      <w:pPr>
        <w:pStyle w:val="CaptionedFigure"/>
      </w:pPr>
      <w:r>
        <w:drawing>
          <wp:inline>
            <wp:extent cx="5943600" cy="4081749"/>
            <wp:effectExtent b="0" l="0" r="0" t="0"/>
            <wp:docPr descr="Figure 3: Detailed process of data transformations for copula calibration" title="" id="32" name="Picture"/>
            <a:graphic>
              <a:graphicData uri="http://schemas.openxmlformats.org/drawingml/2006/picture">
                <pic:pic>
                  <pic:nvPicPr>
                    <pic:cNvPr descr="figures\Project-workflow-detailed.png" id="33" name="Picture"/>
                    <pic:cNvPicPr>
                      <a:picLocks noChangeArrowheads="1" noChangeAspect="1"/>
                    </pic:cNvPicPr>
                  </pic:nvPicPr>
                  <pic:blipFill>
                    <a:blip r:embed="rId31"/>
                    <a:stretch>
                      <a:fillRect/>
                    </a:stretch>
                  </pic:blipFill>
                  <pic:spPr bwMode="auto">
                    <a:xfrm>
                      <a:off x="0" y="0"/>
                      <a:ext cx="5943600" cy="4081749"/>
                    </a:xfrm>
                    <a:prstGeom prst="rect">
                      <a:avLst/>
                    </a:prstGeom>
                    <a:noFill/>
                    <a:ln w="9525">
                      <a:noFill/>
                      <a:headEnd/>
                      <a:tailEnd/>
                    </a:ln>
                  </pic:spPr>
                </pic:pic>
              </a:graphicData>
            </a:graphic>
          </wp:inline>
        </w:drawing>
      </w:r>
    </w:p>
    <w:p>
      <w:pPr>
        <w:pStyle w:val="ImageCaption"/>
      </w:pPr>
      <w:r>
        <w:t xml:space="preserve">Figure 3: Detailed process of data transformations for copula calibration</w:t>
      </w:r>
    </w:p>
    <w:p>
      <w:pPr>
        <w:pStyle w:val="BodyText"/>
      </w:pPr>
      <w:r>
        <w:t xml:space="preserve">Beyond scalability, another key advantage lies in the interpretability of results. While alternative approaches, such as Tail-GAN-based simulations, often produce outputs that are difficult to dissect or explain, the methodology employed here offers an inherent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This not only enhances transparency but also provides with a more actionable foundation for stress testing and capital planning. The ability to attribute risk contributions to specific copula components is a significant improvement in practical applicability and model governance.</w:t>
      </w:r>
    </w:p>
    <w:p>
      <w:pPr>
        <w:pStyle w:val="BodyText"/>
      </w:pPr>
      <w:r>
        <w:t xml:space="preserve">Please also note that aim of this software (Python) is a proof of concept rather than an end-user application, while it still follows the main principals of software design with the development plan outlined below.</w:t>
      </w:r>
    </w:p>
    <w:bookmarkEnd w:id="34"/>
    <w:bookmarkStart w:id="35" w:name="project-development-plan"/>
    <w:p>
      <w:pPr>
        <w:pStyle w:val="Heading1"/>
      </w:pPr>
      <w:r>
        <w:t xml:space="preserve">Project development plan</w:t>
      </w:r>
    </w:p>
    <w:p>
      <w:pPr>
        <w:pStyle w:val="FirstParagraph"/>
      </w:pPr>
      <w:r>
        <w:t xml:space="preserve">The work is expected to start in the beginning of May 2026. Development and research phase is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functionality (Python) able to discover required market data and cache it from Yahoo API according the required population, length and granularity.</w:t>
      </w:r>
    </w:p>
    <w:p>
      <w:pPr>
        <w:pStyle w:val="Compact"/>
        <w:numPr>
          <w:ilvl w:val="0"/>
          <w:numId w:val="1003"/>
        </w:numPr>
      </w:pPr>
      <w:r>
        <w:rPr>
          <w:b/>
          <w:bCs/>
        </w:rPr>
        <w:t xml:space="preserve">Step 2 [week 3-4]:</w:t>
      </w:r>
      <w:r>
        <w:t xml:space="preserve"> </w:t>
      </w:r>
      <w:r>
        <w:t xml:space="preserve">Develop functionality able to calculate different Value-at-Risk metrics based on specified methodology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better understanding required for the future interpretation of the results and testing. Assessing Gaussian, Cauchy, their transformations and weighted combinations.</w:t>
      </w:r>
    </w:p>
    <w:p>
      <w:pPr>
        <w:pStyle w:val="Compact"/>
        <w:numPr>
          <w:ilvl w:val="0"/>
          <w:numId w:val="1003"/>
        </w:numPr>
      </w:pPr>
      <w:r>
        <w:rPr>
          <w:b/>
          <w:bCs/>
        </w:rPr>
        <w:t xml:space="preserve">Step 4 [week 7-8]:</w:t>
      </w:r>
      <w:r>
        <w:t xml:space="preserve"> </w:t>
      </w:r>
      <w:r>
        <w:t xml:space="preserve">Build optimization functionality select parameters for the copula matching current measures for the list of selected portfolios. Once the best matching parameters are available attempt on learning them from the observations directly with deep neral net (MLP).</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 Test whether MLP neral net was able to learn specific copula parameters directly from the data.</w:t>
      </w:r>
    </w:p>
    <w:p>
      <w:pPr>
        <w:pStyle w:val="Compact"/>
        <w:numPr>
          <w:ilvl w:val="0"/>
          <w:numId w:val="1003"/>
        </w:numPr>
      </w:pPr>
      <w:r>
        <w:rPr>
          <w:b/>
          <w:bCs/>
        </w:rPr>
        <w:t xml:space="preserve">Step 6 [week 11 +]:</w:t>
      </w:r>
      <w:r>
        <w:t xml:space="preserve"> </w:t>
      </w:r>
      <w:r>
        <w:t xml:space="preserve">Assess obtained results, summarize observations and developed software within the report.</w:t>
      </w:r>
    </w:p>
    <w:bookmarkEnd w:id="35"/>
    <w:bookmarkStart w:id="41"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6">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7">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8">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39">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0">
        <w:r>
          <w:rPr>
            <w:rStyle w:val="Hyperlink"/>
          </w:rPr>
          <w:t xml:space="preserve">(link)</w:t>
        </w:r>
      </w:hyperlink>
    </w:p>
    <w:bookmarkEnd w:id="41"/>
    <w:bookmarkStart w:id="56" w:name="appendixes"/>
    <w:p>
      <w:pPr>
        <w:pStyle w:val="Heading1"/>
      </w:pPr>
      <w:r>
        <w:t xml:space="preserve">Appendixes</w:t>
      </w:r>
    </w:p>
    <w:bookmarkStart w:id="42"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2"/>
    <w:bookmarkStart w:id="55" w:name="appendix-b-copula-examples"/>
    <w:p>
      <w:pPr>
        <w:pStyle w:val="Heading2"/>
      </w:pPr>
      <w:r>
        <w:t xml:space="preserve">Appendix B: Copula examples</w:t>
      </w:r>
    </w:p>
    <w:p>
      <w:pPr>
        <w:pStyle w:val="FirstParagraph"/>
      </w:pPr>
      <w:r>
        <w:t xml:space="preserve">Gaussian copula.</w:t>
      </w:r>
    </w:p>
    <w:p>
      <w:pPr>
        <w:pStyle w:val="CaptionedFigure"/>
      </w:pPr>
      <w:r>
        <w:drawing>
          <wp:inline>
            <wp:extent cx="5911272" cy="4433454"/>
            <wp:effectExtent b="0" l="0" r="0" t="0"/>
            <wp:docPr descr="Figure 1: Uniform scenarios Gaussian_copula, numerical simulation" title="" id="44" name="Picture"/>
            <a:graphic>
              <a:graphicData uri="http://schemas.openxmlformats.org/drawingml/2006/picture">
                <pic:pic>
                  <pic:nvPicPr>
                    <pic:cNvPr descr="figures\Uniform_scenarios_Gaussian_copula_(numerical_simulation).png" id="45" name="Picture"/>
                    <pic:cNvPicPr>
                      <a:picLocks noChangeArrowheads="1" noChangeAspect="1"/>
                    </pic:cNvPicPr>
                  </pic:nvPicPr>
                  <pic:blipFill>
                    <a:blip r:embed="rId4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911272" cy="4433454"/>
            <wp:effectExtent b="0" l="0" r="0" t="0"/>
            <wp:docPr descr="Figure 2: Contour plot Gaussian copula, numerical simulation" title="" id="47" name="Picture"/>
            <a:graphic>
              <a:graphicData uri="http://schemas.openxmlformats.org/drawingml/2006/picture">
                <pic:pic>
                  <pic:nvPicPr>
                    <pic:cNvPr descr="figures\Contour_plot_Gaussian_copula_(numerical_simulation).png" id="48" name="Picture"/>
                    <pic:cNvPicPr>
                      <a:picLocks noChangeArrowheads="1" noChangeAspect="1"/>
                    </pic:cNvPicPr>
                  </pic:nvPicPr>
                  <pic:blipFill>
                    <a:blip r:embed="rId46"/>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p>
      <w:pPr>
        <w:pStyle w:val="BodyText"/>
      </w:pPr>
      <w:r>
        <w:t xml:space="preserve">Cauchy copula.</w:t>
      </w:r>
    </w:p>
    <w:p>
      <w:pPr>
        <w:pStyle w:val="CaptionedFigure"/>
      </w:pPr>
      <w:r>
        <w:drawing>
          <wp:inline>
            <wp:extent cx="5911272" cy="4433454"/>
            <wp:effectExtent b="0" l="0" r="0" t="0"/>
            <wp:docPr descr="Figure 3: Uniform scenarios Cauchy copula, numerical simulation" title="" id="50" name="Picture"/>
            <a:graphic>
              <a:graphicData uri="http://schemas.openxmlformats.org/drawingml/2006/picture">
                <pic:pic>
                  <pic:nvPicPr>
                    <pic:cNvPr descr="figures\Uniform_scenarios_Cauchy_copula_(numerical_simulation).png" id="51" name="Picture"/>
                    <pic:cNvPicPr>
                      <a:picLocks noChangeArrowheads="1" noChangeAspect="1"/>
                    </pic:cNvPicPr>
                  </pic:nvPicPr>
                  <pic:blipFill>
                    <a:blip r:embed="rId49"/>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911272" cy="4433454"/>
            <wp:effectExtent b="0" l="0" r="0" t="0"/>
            <wp:docPr descr="Figure 4: Contour plot Cauchy copula, numerical simulation" title="" id="53" name="Picture"/>
            <a:graphic>
              <a:graphicData uri="http://schemas.openxmlformats.org/drawingml/2006/picture">
                <pic:pic>
                  <pic:nvPicPr>
                    <pic:cNvPr descr="figures\Contour_plot_Cauchy_copula_(numerical_simulation).png" id="54" name="Picture"/>
                    <pic:cNvPicPr>
                      <a:picLocks noChangeArrowheads="1" noChangeAspect="1"/>
                    </pic:cNvPicPr>
                  </pic:nvPicPr>
                  <pic:blipFill>
                    <a:blip r:embed="rId52"/>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55"/>
    <w:bookmarkEnd w:id="56"/>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46" Target="media/rId46.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hyperlink" Id="rId38" Target="https://arxiv.org/abs/2006.14498" TargetMode="External" /><Relationship Type="http://schemas.openxmlformats.org/officeDocument/2006/relationships/hyperlink" Id="rId36" Target="https://arxiv.org/abs/2203.01664" TargetMode="External" /><Relationship Type="http://schemas.openxmlformats.org/officeDocument/2006/relationships/hyperlink" Id="rId40" Target="https://arxiv.org/pdf/2509.26280" TargetMode="External" /><Relationship Type="http://schemas.openxmlformats.org/officeDocument/2006/relationships/hyperlink" Id="rId39" Target="https://papers.ssrn.com/sol3/papers.cfm?abstract_id=5284313" TargetMode="External" /><Relationship Type="http://schemas.openxmlformats.org/officeDocument/2006/relationships/hyperlink" Id="rId37"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8" Target="https://arxiv.org/abs/2006.14498" TargetMode="External" /><Relationship Type="http://schemas.openxmlformats.org/officeDocument/2006/relationships/hyperlink" Id="rId36" Target="https://arxiv.org/abs/2203.01664" TargetMode="External" /><Relationship Type="http://schemas.openxmlformats.org/officeDocument/2006/relationships/hyperlink" Id="rId40" Target="https://arxiv.org/pdf/2509.26280" TargetMode="External" /><Relationship Type="http://schemas.openxmlformats.org/officeDocument/2006/relationships/hyperlink" Id="rId39" Target="https://papers.ssrn.com/sol3/papers.cfm?abstract_id=5284313" TargetMode="External" /><Relationship Type="http://schemas.openxmlformats.org/officeDocument/2006/relationships/hyperlink" Id="rId37"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Author: Sergii Arkhypov, Supervisor: Dr Alessandro Provetti</dc:creator>
  <cp:keywords/>
  <dcterms:created xsi:type="dcterms:W3CDTF">2026-04-30T21:33:44Z</dcterms:created>
  <dcterms:modified xsi:type="dcterms:W3CDTF">2026-04-30T21:33:44Z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modern machine‑learning models to generate realistic joint‑distribution scenarios for up to several hundred risk factors. A proof‑of‑concept Python software implementation will be built to (i) retrieve and cache market data via the Yahoo API, (ii) compute portfolio Value‑at‑Risk (VaR)) using both historical and Monte‑Carlo simulations, and (iii) integrate the calibrated copulas as modular components within the Monte‑Carlo engine. Empirical experiments will assess the impact of copula selection on VaR/ES estimates across a range of selected portfolios, followed by an optimisation routine to fit copula parameters to observed data. Finally, a deep‑neural‑network (MLP)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2414</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