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4.png" ContentType="image/png"/>
  <Override PartName="/word/media/rId58.png" ContentType="image/png"/>
  <Override PartName="/word/media/rId32.png" ContentType="image/png"/>
  <Override PartName="/word/media/rId29.png" ContentType="image/png"/>
  <Override PartName="/word/media/rId21.png" ContentType="image/png"/>
  <Override PartName="/word/media/rId61.png" ContentType="image/png"/>
  <Override PartName="/word/media/rId5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5"/>
    <w:bookmarkStart w:id="42"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4: Value-at-Risk calculation UML class diagram." title="" id="37" name="Picture"/>
            <a:graphic>
              <a:graphicData uri="http://schemas.openxmlformats.org/drawingml/2006/picture">
                <pic:pic>
                  <pic:nvPicPr>
                    <pic:cNvPr descr="figures\class-diagram.png" id="38" name="Picture"/>
                    <pic:cNvPicPr>
                      <a:picLocks noChangeArrowheads="1" noChangeAspect="1"/>
                    </pic:cNvPicPr>
                  </pic:nvPicPr>
                  <pic:blipFill>
                    <a:blip r:embed="rId36"/>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4: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BodyText"/>
      </w:pPr>
      <w:r>
        <w:t xml:space="preserve">[TODO: explain jupytre notebooks]</w:t>
      </w:r>
    </w:p>
    <w:bookmarkStart w:id="39"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39"/>
    <w:bookmarkStart w:id="40"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visualizations and diagnostic tools are applied uniformly across all models. The current project has integrated several specific copula models into its framework:</w:t>
      </w:r>
    </w:p>
    <w:p>
      <w:pPr>
        <w:pStyle w:val="Compact"/>
        <w:numPr>
          <w:ilvl w:val="0"/>
          <w:numId w:val="1005"/>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5"/>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5"/>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5"/>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5"/>
        </w:numPr>
      </w:pPr>
      <w:r>
        <w:t xml:space="preserve">The</w:t>
      </w:r>
      <w:r>
        <w:t xml:space="preserve"> </w:t>
      </w:r>
      <w:r>
        <w:rPr>
          <w:b/>
          <w:bCs/>
        </w:rPr>
        <w:t xml:space="preserve">SkewCopulaNum</w:t>
      </w:r>
      <w:r>
        <w:t xml:space="preserve"> </w:t>
      </w:r>
      <w:r>
        <w:t xml:space="preserve">class implements a skewed Cauchy copula, which serves as an asymmetric extension.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5"/>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0"/>
    <w:bookmarkStart w:id="41"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1"/>
    <w:bookmarkEnd w:id="42"/>
    <w:bookmarkStart w:id="43" w:name="implementation"/>
    <w:p>
      <w:pPr>
        <w:pStyle w:val="Heading1"/>
      </w:pPr>
      <w:r>
        <w:t xml:space="preserve">Implementation</w:t>
      </w:r>
    </w:p>
    <w:bookmarkEnd w:id="43"/>
    <w:bookmarkStart w:id="44" w:name="testing-and-evaluation"/>
    <w:p>
      <w:pPr>
        <w:pStyle w:val="Heading1"/>
      </w:pPr>
      <w:r>
        <w:t xml:space="preserve">Testing and Evaluation</w:t>
      </w:r>
    </w:p>
    <w:bookmarkEnd w:id="44"/>
    <w:bookmarkStart w:id="45" w:name="resultsfindings-and-discussion"/>
    <w:p>
      <w:pPr>
        <w:pStyle w:val="Heading1"/>
      </w:pPr>
      <w:r>
        <w:t xml:space="preserve">Results/Findings and Discussion</w:t>
      </w:r>
    </w:p>
    <w:bookmarkEnd w:id="45"/>
    <w:bookmarkStart w:id="46" w:name="conclusionrecommendationsfuture-work"/>
    <w:p>
      <w:pPr>
        <w:pStyle w:val="Heading1"/>
      </w:pPr>
      <w:r>
        <w:t xml:space="preserve">Conclusion/Recommendations/Future Work</w:t>
      </w:r>
    </w:p>
    <w:bookmarkEnd w:id="46"/>
    <w:bookmarkStart w:id="53" w:name="references"/>
    <w:p>
      <w:pPr>
        <w:pStyle w:val="Heading1"/>
      </w:pPr>
      <w:r>
        <w:t xml:space="preserve">References</w:t>
      </w:r>
    </w:p>
    <w:p>
      <w:pPr>
        <w:numPr>
          <w:ilvl w:val="0"/>
          <w:numId w:val="1006"/>
        </w:numPr>
      </w:pPr>
      <w:r>
        <w:t xml:space="preserve">Jorion P., 2006. Value as Risk: The New Benchmark for Managing Financial Risk. New York: The McGraw-Hill.</w:t>
      </w:r>
    </w:p>
    <w:p>
      <w:pPr>
        <w:numPr>
          <w:ilvl w:val="0"/>
          <w:numId w:val="1006"/>
        </w:numPr>
      </w:pPr>
      <w:r>
        <w:t xml:space="preserve">Cherubini U. et al, 2004. Copula methods in finance. England: Wiley finance.</w:t>
      </w:r>
    </w:p>
    <w:p>
      <w:pPr>
        <w:numPr>
          <w:ilvl w:val="0"/>
          <w:numId w:val="1006"/>
        </w:numPr>
      </w:pPr>
      <w:r>
        <w:t xml:space="preserve">Chollet F., 2021. Deep learning with Python. New York: Manning Publications Co. </w:t>
      </w:r>
    </w:p>
    <w:p>
      <w:pPr>
        <w:numPr>
          <w:ilvl w:val="0"/>
          <w:numId w:val="1006"/>
        </w:numPr>
      </w:pPr>
      <w:r>
        <w:t xml:space="preserve">Acerbi C., Szekely B., 2014. Back-testing expected shortfall. Risk, 27(11):76–81.</w:t>
      </w:r>
    </w:p>
    <w:p>
      <w:pPr>
        <w:numPr>
          <w:ilvl w:val="0"/>
          <w:numId w:val="1006"/>
        </w:numPr>
      </w:pPr>
      <w:r>
        <w:t xml:space="preserve">Cont R. et al, 2022. Tail-GAN: Nonparametric scenario generation for tail risk estimation.</w:t>
      </w:r>
      <w:r>
        <w:t xml:space="preserve"> </w:t>
      </w:r>
      <w:hyperlink r:id="rId47">
        <w:r>
          <w:rPr>
            <w:rStyle w:val="Hyperlink"/>
          </w:rPr>
          <w:t xml:space="preserve">(link)</w:t>
        </w:r>
      </w:hyperlink>
    </w:p>
    <w:p>
      <w:pPr>
        <w:numPr>
          <w:ilvl w:val="0"/>
          <w:numId w:val="1006"/>
        </w:numPr>
      </w:pPr>
      <w:r>
        <w:t xml:space="preserve">Oh D., Patton A., 2015. Modelling dependance in High dimensions with factor copulas.</w:t>
      </w:r>
      <w:r>
        <w:t xml:space="preserve"> </w:t>
      </w:r>
      <w:hyperlink r:id="rId48">
        <w:r>
          <w:rPr>
            <w:rStyle w:val="Hyperlink"/>
          </w:rPr>
          <w:t xml:space="preserve">(link)</w:t>
        </w:r>
      </w:hyperlink>
    </w:p>
    <w:p>
      <w:pPr>
        <w:numPr>
          <w:ilvl w:val="0"/>
          <w:numId w:val="1006"/>
        </w:numPr>
      </w:pPr>
      <w:r>
        <w:t xml:space="preserve">Buhler H., Horvath B., 2021. A data-driven market simulator for small data environments.</w:t>
      </w:r>
      <w:r>
        <w:t xml:space="preserve"> </w:t>
      </w:r>
      <w:hyperlink r:id="rId49">
        <w:r>
          <w:rPr>
            <w:rStyle w:val="Hyperlink"/>
          </w:rPr>
          <w:t xml:space="preserve">(link)</w:t>
        </w:r>
      </w:hyperlink>
    </w:p>
    <w:p>
      <w:pPr>
        <w:numPr>
          <w:ilvl w:val="0"/>
          <w:numId w:val="1006"/>
        </w:numPr>
      </w:pPr>
      <w:r>
        <w:t xml:space="preserve">Horvath B. et al, 2025. Generative Models in Finance: Market Generators, a Paradigm Shift in Financial Modeling.</w:t>
      </w:r>
      <w:hyperlink r:id="rId50">
        <w:r>
          <w:rPr>
            <w:rStyle w:val="Hyperlink"/>
          </w:rPr>
          <w:t xml:space="preserve">(link)</w:t>
        </w:r>
      </w:hyperlink>
    </w:p>
    <w:p>
      <w:pPr>
        <w:numPr>
          <w:ilvl w:val="0"/>
          <w:numId w:val="1006"/>
        </w:numPr>
      </w:pPr>
      <w:r>
        <w:t xml:space="preserve">Hofert M. and Pang Z., 2025. W-transforms: Uniformity-preserving transformations and induced dependence structures.</w:t>
      </w:r>
      <w:hyperlink r:id="rId51">
        <w:r>
          <w:rPr>
            <w:rStyle w:val="Hyperlink"/>
          </w:rPr>
          <w:t xml:space="preserve">(link)</w:t>
        </w:r>
      </w:hyperlink>
    </w:p>
    <w:p>
      <w:pPr>
        <w:numPr>
          <w:ilvl w:val="0"/>
          <w:numId w:val="1006"/>
        </w:numPr>
      </w:pPr>
      <w:r>
        <w:t xml:space="preserve">Geron A., 2019. Hands-On Machine Learning with Scikit-Learn, Keras, and TensorFlow: Concepts, Tools, and Techniques to Build Intelligent Systems. Sebastopol: O’Reilly Media. 2nd Edition.</w:t>
      </w:r>
    </w:p>
    <w:p>
      <w:pPr>
        <w:numPr>
          <w:ilvl w:val="0"/>
          <w:numId w:val="1006"/>
        </w:numPr>
      </w:pPr>
      <w:r>
        <w:t xml:space="preserve">Scikit-optimize contributors, 2017 - 2020. User Guide.</w:t>
      </w:r>
      <w:hyperlink r:id="rId52">
        <w:r>
          <w:rPr>
            <w:rStyle w:val="Hyperlink"/>
          </w:rPr>
          <w:t xml:space="preserve">(link)</w:t>
        </w:r>
      </w:hyperlink>
    </w:p>
    <w:bookmarkEnd w:id="53"/>
    <w:bookmarkStart w:id="69" w:name="appendixes"/>
    <w:p>
      <w:pPr>
        <w:pStyle w:val="Heading1"/>
      </w:pPr>
      <w:r>
        <w:t xml:space="preserve">Appendixes</w:t>
      </w:r>
    </w:p>
    <w:bookmarkStart w:id="54" w:name="appendix-a-list-of-used-ai-tools"/>
    <w:p>
      <w:pPr>
        <w:pStyle w:val="Heading2"/>
      </w:pPr>
      <w:r>
        <w:t xml:space="preserve">Appendix A: List of used AI tools</w:t>
      </w:r>
    </w:p>
    <w:p>
      <w:pPr>
        <w:pStyle w:val="Compact"/>
        <w:numPr>
          <w:ilvl w:val="0"/>
          <w:numId w:val="1007"/>
        </w:numPr>
      </w:pPr>
      <w:r>
        <w:t xml:space="preserve">Gemini via Google Search and as a chatbot;</w:t>
      </w:r>
    </w:p>
    <w:p>
      <w:pPr>
        <w:pStyle w:val="Compact"/>
        <w:numPr>
          <w:ilvl w:val="0"/>
          <w:numId w:val="1007"/>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4"/>
    <w:bookmarkStart w:id="67"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56" name="Picture"/>
            <a:graphic>
              <a:graphicData uri="http://schemas.openxmlformats.org/drawingml/2006/picture">
                <pic:pic>
                  <pic:nvPicPr>
                    <pic:cNvPr descr="figures\Uniform_scenarios_Gaussian_copula_(numerical_simulation).png" id="57" name="Picture"/>
                    <pic:cNvPicPr>
                      <a:picLocks noChangeArrowheads="1" noChangeAspect="1"/>
                    </pic:cNvPicPr>
                  </pic:nvPicPr>
                  <pic:blipFill>
                    <a:blip r:embed="rId55"/>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59" name="Picture"/>
            <a:graphic>
              <a:graphicData uri="http://schemas.openxmlformats.org/drawingml/2006/picture">
                <pic:pic>
                  <pic:nvPicPr>
                    <pic:cNvPr descr="figures\Contour_plot_Gaussian_copula_(numerical_simulation).png" id="60" name="Picture"/>
                    <pic:cNvPicPr>
                      <a:picLocks noChangeArrowheads="1" noChangeAspect="1"/>
                    </pic:cNvPicPr>
                  </pic:nvPicPr>
                  <pic:blipFill>
                    <a:blip r:embed="rId58"/>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62" name="Picture"/>
            <a:graphic>
              <a:graphicData uri="http://schemas.openxmlformats.org/drawingml/2006/picture">
                <pic:pic>
                  <pic:nvPicPr>
                    <pic:cNvPr descr="figures\Uniform_scenarios_Cauchy_copula_(numerical_simulation).png" id="63" name="Picture"/>
                    <pic:cNvPicPr>
                      <a:picLocks noChangeArrowheads="1" noChangeAspect="1"/>
                    </pic:cNvPicPr>
                  </pic:nvPicPr>
                  <pic:blipFill>
                    <a:blip r:embed="rId61"/>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65" name="Picture"/>
            <a:graphic>
              <a:graphicData uri="http://schemas.openxmlformats.org/drawingml/2006/picture">
                <pic:pic>
                  <pic:nvPicPr>
                    <pic:cNvPr descr="figures\Contour_plot_Cauchy_copula_(numerical_simulation).png" id="66" name="Picture"/>
                    <pic:cNvPicPr>
                      <a:picLocks noChangeArrowheads="1" noChangeAspect="1"/>
                    </pic:cNvPicPr>
                  </pic:nvPicPr>
                  <pic:blipFill>
                    <a:blip r:embed="rId6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67"/>
    <w:bookmarkStart w:id="68" w:name="appendix-c-code-listing"/>
    <w:p>
      <w:pPr>
        <w:pStyle w:val="Heading2"/>
      </w:pPr>
      <w:r>
        <w:t xml:space="preserve">Appendix C: Code listing</w:t>
      </w:r>
    </w:p>
    <w:bookmarkEnd w:id="68"/>
    <w:bookmarkEnd w:id="69"/>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hyperlink" Id="rId49" Target="https://arxiv.org/abs/2006.14498" TargetMode="External" /><Relationship Type="http://schemas.openxmlformats.org/officeDocument/2006/relationships/hyperlink" Id="rId47" Target="https://arxiv.org/abs/2203.01664" TargetMode="External" /><Relationship Type="http://schemas.openxmlformats.org/officeDocument/2006/relationships/hyperlink" Id="rId51" Target="https://arxiv.org/pdf/2509.26280" TargetMode="External" /><Relationship Type="http://schemas.openxmlformats.org/officeDocument/2006/relationships/hyperlink" Id="rId50" Target="https://papers.ssrn.com/sol3/papers.cfm?abstract_id=5284313" TargetMode="External" /><Relationship Type="http://schemas.openxmlformats.org/officeDocument/2006/relationships/hyperlink" Id="rId52" Target="https://scikit-optimize.github.io/stable/" TargetMode="External" /><Relationship Type="http://schemas.openxmlformats.org/officeDocument/2006/relationships/hyperlink" Id="rId4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49" Target="https://arxiv.org/abs/2006.14498" TargetMode="External" /><Relationship Type="http://schemas.openxmlformats.org/officeDocument/2006/relationships/hyperlink" Id="rId47" Target="https://arxiv.org/abs/2203.01664" TargetMode="External" /><Relationship Type="http://schemas.openxmlformats.org/officeDocument/2006/relationships/hyperlink" Id="rId51" Target="https://arxiv.org/pdf/2509.26280" TargetMode="External" /><Relationship Type="http://schemas.openxmlformats.org/officeDocument/2006/relationships/hyperlink" Id="rId50" Target="https://papers.ssrn.com/sol3/papers.cfm?abstract_id=5284313" TargetMode="External" /><Relationship Type="http://schemas.openxmlformats.org/officeDocument/2006/relationships/hyperlink" Id="rId52" Target="https://scikit-optimize.github.io/stable/" TargetMode="External" /><Relationship Type="http://schemas.openxmlformats.org/officeDocument/2006/relationships/hyperlink" Id="rId4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2026-07-22T22:26:06Z</dcterms:created>
  <dcterms:modified xsi:type="dcterms:W3CDTF">2026-07-22T22:26:06Z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