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3.png" ContentType="image/png"/>
  <Override PartName="/word/media/rId47.png" ContentType="image/png"/>
  <Override PartName="/word/media/rId32.png" ContentType="image/png"/>
  <Override PartName="/word/media/rId29.png" ContentType="image/png"/>
  <Override PartName="/word/media/rId21.png" ContentType="image/png"/>
  <Override PartName="/word/media/rId5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30 September 2026. Word count: 2639</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w:t>
      </w:r>
      <w:r>
        <w:t xml:space="preserve"> </w:t>
      </w:r>
      <w:r>
        <w:t xml:space="preserve">Nevertheless, joint analytics of high dimensionality (e.g., &gt;100 random factors) still present serious challenges.</w:t>
      </w:r>
      <w:r>
        <w:t xml:space="preserve"> </w:t>
      </w:r>
      <w:r>
        <w:t xml:space="preserve">This task is hard to address with classical statistical methods, and the available toolset is quite limited, i.e., mainly based on Gaussian copulas.</w:t>
      </w:r>
      <w:r>
        <w:t xml:space="preserve"> </w:t>
      </w:r>
      <w:r>
        <w:t xml:space="preserve">There is hope that advances in ML/AI algorithms and corresponding software libraries will help expand this toolset and provide alternative approaches for modelling high-dimensional joint dependency.</w:t>
      </w:r>
    </w:p>
    <w:p>
      <w:pPr>
        <w:pStyle w:val="BodyText"/>
      </w:pPr>
      <w:r>
        <w:t xml:space="preserve">This MSc proposal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 The proposal concludes in a development plan for the project and a risk mitigation analysis.</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28" w:name="X32b9430d5d15411fac62685483839fe9d87a9a8"/>
    <w:p>
      <w:pPr>
        <w:pStyle w:val="Heading1"/>
      </w:pPr>
      <w:r>
        <w:t xml:space="preserve">Description of the problem and relevant work</w:t>
      </w:r>
    </w:p>
    <w:bookmarkStart w:id="26"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 specified or when EVT extrapolations deviate from true tail behaviour.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w:t>
      </w:r>
      <w:r>
        <w:t xml:space="preserve"> </w:t>
      </w:r>
      <w:r>
        <w:t xml:space="preserve">Consequently, when modelling portfolio risk that is sensitive to rare but severe events, choosing a copula with appropriate tail dependence is essential.</w:t>
      </w:r>
      <w:r>
        <w:t xml:space="preserve"> </w:t>
      </w:r>
      <w:r>
        <w:t xml:space="preserve">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t xml:space="preserve">Figure 1: Tail dependence for different types of copulas and different number of random variables.</w:t>
      </w:r>
    </w:p>
    <w:bookmarkEnd w:id="24"/>
    <w:bookmarkStart w:id="25" w:name="economics-of-the-cauchy-copula"/>
    <w:p>
      <w:pPr>
        <w:pStyle w:val="Heading3"/>
      </w:pPr>
      <w:r>
        <w:t xml:space="preserve">Economics of the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realizations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End w:id="26"/>
    <w:bookmarkStart w:id="27"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w:t>
      </w:r>
      <w:r>
        <w:t xml:space="preserve"> </w:t>
      </w:r>
      <w:r>
        <w:t xml:space="preserve">‘extreme’</w:t>
      </w:r>
      <w:r>
        <w:t xml:space="preserve"> </w:t>
      </w:r>
      <w:r>
        <w:t xml:space="preserve">scenarios that reflect the complex dependencies observed in financial markets.</w:t>
      </w:r>
    </w:p>
    <w:bookmarkEnd w:id="27"/>
    <w:bookmarkEnd w:id="28"/>
    <w:bookmarkStart w:id="35"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optimization to the static core. Portfolios of approx. 500 names with all long positions and 500 long/short hedged positions will be used in this study.</w:t>
      </w:r>
    </w:p>
    <w:p>
      <w:pPr>
        <w:pStyle w:val="BodyText"/>
      </w:pPr>
      <w:r>
        <w:t xml:space="preserve">Figure 2 presents the overall workflow of the project. The aim is to calibrate copula to historical timeseries related to a list of selected portfolios.</w:t>
      </w:r>
    </w:p>
    <w:p>
      <w:pPr>
        <w:pStyle w:val="CaptionedFigure"/>
      </w:pPr>
      <w:r>
        <w:drawing>
          <wp:inline>
            <wp:extent cx="5943600" cy="2116281"/>
            <wp:effectExtent b="0" l="0" r="0" t="0"/>
            <wp:docPr descr="Figure 2: The proposed copula calibration workflow." title="" id="30" name="Picture"/>
            <a:graphic>
              <a:graphicData uri="http://schemas.openxmlformats.org/drawingml/2006/picture">
                <pic:pic>
                  <pic:nvPicPr>
                    <pic:cNvPr descr="figures\Project-workflow-high.png" id="31" name="Picture"/>
                    <pic:cNvPicPr>
                      <a:picLocks noChangeArrowheads="1" noChangeAspect="1"/>
                    </pic:cNvPicPr>
                  </pic:nvPicPr>
                  <pic:blipFill>
                    <a:blip r:embed="rId29"/>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t xml:space="preserve">Figure 2: The proposed copula calibration workflow.</w:t>
      </w:r>
    </w:p>
    <w:p>
      <w:pPr>
        <w:pStyle w:val="BodyText"/>
      </w:pPr>
      <w:r>
        <w:t xml:space="preserve">Figure 3 further details the cumulative process of constructing different time series based on the observed history and representing the required data transformations.</w:t>
      </w:r>
    </w:p>
    <w:p>
      <w:pPr>
        <w:pStyle w:val="CaptionedFigure"/>
      </w:pPr>
      <w:r>
        <w:drawing>
          <wp:inline>
            <wp:extent cx="5943600" cy="3601452"/>
            <wp:effectExtent b="0" l="0" r="0" t="0"/>
            <wp:docPr descr="Figure 3: The proposed process of data transformations for copula calibration." title="" id="33" name="Picture"/>
            <a:graphic>
              <a:graphicData uri="http://schemas.openxmlformats.org/drawingml/2006/picture">
                <pic:pic>
                  <pic:nvPicPr>
                    <pic:cNvPr descr="figures\Project-workflow-detailed.png" id="34" name="Picture"/>
                    <pic:cNvPicPr>
                      <a:picLocks noChangeArrowheads="1" noChangeAspect="1"/>
                    </pic:cNvPicPr>
                  </pic:nvPicPr>
                  <pic:blipFill>
                    <a:blip r:embed="rId32"/>
                    <a:stretch>
                      <a:fillRect/>
                    </a:stretch>
                  </pic:blipFill>
                  <pic:spPr bwMode="auto">
                    <a:xfrm>
                      <a:off x="0" y="0"/>
                      <a:ext cx="5943600" cy="3601452"/>
                    </a:xfrm>
                    <a:prstGeom prst="rect">
                      <a:avLst/>
                    </a:prstGeom>
                    <a:noFill/>
                    <a:ln w="9525">
                      <a:noFill/>
                      <a:headEnd/>
                      <a:tailEnd/>
                    </a:ln>
                  </pic:spPr>
                </pic:pic>
              </a:graphicData>
            </a:graphic>
          </wp:inline>
        </w:drawing>
      </w:r>
    </w:p>
    <w:p>
      <w:pPr>
        <w:pStyle w:val="ImageCaption"/>
      </w:pPr>
      <w:r>
        <w:t xml:space="preserve">Figure 3: The proposed process of data transformations for copula calibration.</w:t>
      </w:r>
    </w:p>
    <w:p>
      <w:pPr>
        <w:pStyle w:val="BodyText"/>
      </w:pPr>
      <w:r>
        <w:t xml:space="preserve">Beyond scalability, another key advantage of the proposed architecture lies in the interpretability of results. While alternative approaches, such as Tail-GAN-based simulations, often produce outputs that are difficult to dissect or explain (see</w:t>
      </w:r>
      <w:r>
        <w:t xml:space="preserve"> </w:t>
      </w:r>
      <w:hyperlink w:anchor="references">
        <w:r>
          <w:rPr>
            <w:rStyle w:val="Hyperlink"/>
          </w:rPr>
          <w:t xml:space="preserve">[5]</w:t>
        </w:r>
      </w:hyperlink>
      <w:r>
        <w:t xml:space="preserve"> </w:t>
      </w:r>
      <w:r>
        <w:t xml:space="preserve">for a discussion), the methodology employed here offers a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pPr>
        <w:pStyle w:val="BodyText"/>
      </w:pPr>
      <w:r>
        <w:t xml:space="preserve">The workflow described in Figure 3 will be implemented in Python with recourse to well-known Python modules that are frequently used for such type of data processing. In particular, the Scikit-learn module described in Geron’s textbook (see</w:t>
      </w:r>
      <w:r>
        <w:t xml:space="preserve"> </w:t>
      </w:r>
      <w:hyperlink w:anchor="references">
        <w:r>
          <w:rPr>
            <w:rStyle w:val="Hyperlink"/>
          </w:rPr>
          <w:t xml:space="preserve">[10]</w:t>
        </w:r>
      </w:hyperlink>
      <w:r>
        <w:t xml:space="preserve">) supply us with Python classes required to implement the workflow above and testing phase.</w:t>
      </w:r>
    </w:p>
    <w:bookmarkEnd w:id="35"/>
    <w:bookmarkStart w:id="36" w:name="Xb80ddedb553230bdae8cbf809d981d8b8ec3898"/>
    <w:p>
      <w:pPr>
        <w:pStyle w:val="Heading1"/>
      </w:pPr>
      <w:r>
        <w:t xml:space="preserve">Project development plan and risk mitigation analysis</w:t>
      </w:r>
    </w:p>
    <w:p>
      <w:pPr>
        <w:pStyle w:val="FirstParagraph"/>
      </w:pPr>
      <w:r>
        <w:t xml:space="preserve">The work is expected to start in May 2026. The development and research phases are expected to be finalized within 3 months, leaving additional time for the report preparation.</w:t>
      </w:r>
    </w:p>
    <w:p>
      <w:pPr>
        <w:pStyle w:val="Compact"/>
        <w:numPr>
          <w:ilvl w:val="0"/>
          <w:numId w:val="1003"/>
        </w:numPr>
      </w:pPr>
      <w:r>
        <w:rPr>
          <w:b/>
          <w:bCs/>
        </w:rPr>
        <w:t xml:space="preserve">Step 1 [week 1-2]:</w:t>
      </w:r>
      <w:r>
        <w:t xml:space="preserve"> </w:t>
      </w:r>
      <w:r>
        <w:t xml:space="preserve">Develop the functionality (Python) able to discover and cache the required market data from the Yahoo Finance API according to the required population, length and granularity.</w:t>
      </w:r>
    </w:p>
    <w:p>
      <w:pPr>
        <w:pStyle w:val="Compact"/>
        <w:numPr>
          <w:ilvl w:val="0"/>
          <w:numId w:val="1003"/>
        </w:numPr>
      </w:pPr>
      <w:r>
        <w:rPr>
          <w:b/>
          <w:bCs/>
        </w:rPr>
        <w:t xml:space="preserve">Step 2 [week 3-4]:</w:t>
      </w:r>
      <w:r>
        <w:t xml:space="preserve"> </w:t>
      </w:r>
      <w:r>
        <w:t xml:space="preserve">Develop the functionality able to calculate different Value-at-Risk metrics based on specified methodologies i.e. Historical VaR, Monte-Carlo VaR. The latter should be structured in a way that copula class is provided as an input, allowing calculations with different copula hypothesis.</w:t>
      </w:r>
    </w:p>
    <w:p>
      <w:pPr>
        <w:pStyle w:val="Compact"/>
        <w:numPr>
          <w:ilvl w:val="0"/>
          <w:numId w:val="1003"/>
        </w:numPr>
      </w:pPr>
      <w:r>
        <w:rPr>
          <w:b/>
          <w:bCs/>
        </w:rPr>
        <w:t xml:space="preserve">Step 3 [week 5-6]:</w:t>
      </w:r>
      <w:r>
        <w:t xml:space="preserve"> </w:t>
      </w:r>
      <w:r>
        <w:t xml:space="preserve">Perform initial experiments to gauge copula impact on selected measures across different portfolios. This should help to develop the better understanding required for the future interpretation of the results and testing. We will assess Gaussian and Cauchy copulas, their transformations and weighted combinations.</w:t>
      </w:r>
    </w:p>
    <w:p>
      <w:pPr>
        <w:pStyle w:val="Compact"/>
        <w:numPr>
          <w:ilvl w:val="0"/>
          <w:numId w:val="1003"/>
        </w:numPr>
      </w:pPr>
      <w:r>
        <w:rPr>
          <w:b/>
          <w:bCs/>
        </w:rPr>
        <w:t xml:space="preserve">Step 4 [week 7-8]:</w:t>
      </w:r>
      <w:r>
        <w:t xml:space="preserve"> </w:t>
      </w:r>
      <w:r>
        <w:t xml:space="preserve">Build the optimization functionality that selects parameters for the copula by matching current measures for the list of selected portfolios.</w:t>
      </w:r>
      <w:r>
        <w:br/>
      </w:r>
    </w:p>
    <w:p>
      <w:pPr>
        <w:pStyle w:val="Compact"/>
        <w:numPr>
          <w:ilvl w:val="0"/>
          <w:numId w:val="1003"/>
        </w:numPr>
      </w:pPr>
      <w:r>
        <w:rPr>
          <w:b/>
          <w:bCs/>
        </w:rPr>
        <w:t xml:space="preserve">Step 5 [week 9-10]:</w:t>
      </w:r>
      <w:r>
        <w:t xml:space="preserve"> </w:t>
      </w:r>
      <w:r>
        <w:t xml:space="preserve">Design a testing exercise to ensure the calibrated copulas adhere to the specified conditions.</w:t>
      </w:r>
    </w:p>
    <w:p>
      <w:pPr>
        <w:pStyle w:val="Compact"/>
        <w:numPr>
          <w:ilvl w:val="0"/>
          <w:numId w:val="1003"/>
        </w:numPr>
      </w:pPr>
      <w:r>
        <w:rPr>
          <w:b/>
          <w:bCs/>
        </w:rPr>
        <w:t xml:space="preserve">Step 6 [week 11 +]:</w:t>
      </w:r>
      <w:r>
        <w:t xml:space="preserve"> </w:t>
      </w:r>
      <w:r>
        <w:t xml:space="preserve">Discuss the obtained results, summarize observations and developed software within the report.</w:t>
      </w:r>
    </w:p>
    <w:p>
      <w:pPr>
        <w:pStyle w:val="FirstParagraph"/>
      </w:pPr>
      <w:r>
        <w:t xml:space="preserve">There is a distinct possibility that certain project phases may overrun, particularly code development, testing, and the selection of the copula calibration algorithm. To mitigate this, it is aimed to complete the core work by August 2026, providing a buffer to accommodate potential delays.</w:t>
      </w:r>
    </w:p>
    <w:bookmarkEnd w:id="36"/>
    <w:bookmarkStart w:id="42" w:name="references"/>
    <w:p>
      <w:pPr>
        <w:pStyle w:val="Heading1"/>
      </w:pPr>
      <w:r>
        <w:t xml:space="preserve">References</w:t>
      </w:r>
    </w:p>
    <w:p>
      <w:pPr>
        <w:numPr>
          <w:ilvl w:val="0"/>
          <w:numId w:val="1004"/>
        </w:numPr>
      </w:pPr>
      <w:r>
        <w:t xml:space="preserve">Jorion P., 2006. Value as Risk: The New Benchmark for Managing Financial Risk. New York: The McGraw-Hill.</w:t>
      </w:r>
    </w:p>
    <w:p>
      <w:pPr>
        <w:numPr>
          <w:ilvl w:val="0"/>
          <w:numId w:val="1004"/>
        </w:numPr>
      </w:pPr>
      <w:r>
        <w:t xml:space="preserve">Cherubini U. et al, 2004. Copula methods in finance. England: Wiley finance.</w:t>
      </w:r>
    </w:p>
    <w:p>
      <w:pPr>
        <w:numPr>
          <w:ilvl w:val="0"/>
          <w:numId w:val="1004"/>
        </w:numPr>
      </w:pPr>
      <w:r>
        <w:t xml:space="preserve">Chollet F., 2021. Deep learning with Python. New York: Manning Publications Co. </w:t>
      </w:r>
    </w:p>
    <w:p>
      <w:pPr>
        <w:numPr>
          <w:ilvl w:val="0"/>
          <w:numId w:val="1004"/>
        </w:numPr>
      </w:pPr>
      <w:r>
        <w:t xml:space="preserve">Acerbi C., Szekely B., 2014. Back-testing expected shortfall. Risk, 27(11):76–81.</w:t>
      </w:r>
    </w:p>
    <w:p>
      <w:pPr>
        <w:numPr>
          <w:ilvl w:val="0"/>
          <w:numId w:val="1004"/>
        </w:numPr>
      </w:pPr>
      <w:r>
        <w:t xml:space="preserve">Cont R. et al, 2022. Tail-GAN: Nonparametric scenario generation for tail risk estimation.</w:t>
      </w:r>
      <w:r>
        <w:t xml:space="preserve"> </w:t>
      </w:r>
      <w:hyperlink r:id="rId37">
        <w:r>
          <w:rPr>
            <w:rStyle w:val="Hyperlink"/>
          </w:rPr>
          <w:t xml:space="preserve">(link)</w:t>
        </w:r>
      </w:hyperlink>
    </w:p>
    <w:p>
      <w:pPr>
        <w:numPr>
          <w:ilvl w:val="0"/>
          <w:numId w:val="1004"/>
        </w:numPr>
      </w:pPr>
      <w:r>
        <w:t xml:space="preserve">Oh D., Patton A., 2015. Modelling dependance in High dimensions with factor copulas.</w:t>
      </w:r>
      <w:r>
        <w:t xml:space="preserve"> </w:t>
      </w:r>
      <w:hyperlink r:id="rId38">
        <w:r>
          <w:rPr>
            <w:rStyle w:val="Hyperlink"/>
          </w:rPr>
          <w:t xml:space="preserve">(link)</w:t>
        </w:r>
      </w:hyperlink>
    </w:p>
    <w:p>
      <w:pPr>
        <w:numPr>
          <w:ilvl w:val="0"/>
          <w:numId w:val="1004"/>
        </w:numPr>
      </w:pPr>
      <w:r>
        <w:t xml:space="preserve">Buhler H., Horvath B., 2021. A data-driven market simulator for small data environments.</w:t>
      </w:r>
      <w:r>
        <w:t xml:space="preserve"> </w:t>
      </w:r>
      <w:hyperlink r:id="rId39">
        <w:r>
          <w:rPr>
            <w:rStyle w:val="Hyperlink"/>
          </w:rPr>
          <w:t xml:space="preserve">(link)</w:t>
        </w:r>
      </w:hyperlink>
    </w:p>
    <w:p>
      <w:pPr>
        <w:numPr>
          <w:ilvl w:val="0"/>
          <w:numId w:val="1004"/>
        </w:numPr>
      </w:pPr>
      <w:r>
        <w:t xml:space="preserve">Horvath B. et al, 2025. Generative Models in Finance: Market Generators, a Paradigm Shift in Financial Modeling.</w:t>
      </w:r>
      <w:hyperlink r:id="rId40">
        <w:r>
          <w:rPr>
            <w:rStyle w:val="Hyperlink"/>
          </w:rPr>
          <w:t xml:space="preserve">(link)</w:t>
        </w:r>
      </w:hyperlink>
    </w:p>
    <w:p>
      <w:pPr>
        <w:numPr>
          <w:ilvl w:val="0"/>
          <w:numId w:val="1004"/>
        </w:numPr>
      </w:pPr>
      <w:r>
        <w:t xml:space="preserve">Hofert M. and Pang Z., 2025. W-transforms: Uniformity-preserving transformations and induced dependence structures.</w:t>
      </w:r>
      <w:hyperlink r:id="rId41">
        <w:r>
          <w:rPr>
            <w:rStyle w:val="Hyperlink"/>
          </w:rPr>
          <w:t xml:space="preserve">(link)</w:t>
        </w:r>
      </w:hyperlink>
    </w:p>
    <w:p>
      <w:pPr>
        <w:numPr>
          <w:ilvl w:val="0"/>
          <w:numId w:val="1004"/>
        </w:numPr>
      </w:pPr>
      <w:r>
        <w:t xml:space="preserve">Geron A., 2019. Hands-On Machine Learning with Scikit-Learn, Keras, and TensorFlow: Concepts, Tools, and Techniques to Build Intelligent Systems. Sebastopol: O’Reilly Media. 2nd Edition.</w:t>
      </w:r>
    </w:p>
    <w:bookmarkEnd w:id="42"/>
    <w:bookmarkStart w:id="57" w:name="appendixes"/>
    <w:p>
      <w:pPr>
        <w:pStyle w:val="Heading1"/>
      </w:pPr>
      <w:r>
        <w:t xml:space="preserve">Appendixes</w:t>
      </w:r>
    </w:p>
    <w:bookmarkStart w:id="43" w:name="appendix-a-list-of-used-ai-tools"/>
    <w:p>
      <w:pPr>
        <w:pStyle w:val="Heading2"/>
      </w:pPr>
      <w:r>
        <w:t xml:space="preserve">Appendix A: List of used AI tools</w:t>
      </w:r>
    </w:p>
    <w:p>
      <w:pPr>
        <w:pStyle w:val="Compact"/>
        <w:numPr>
          <w:ilvl w:val="0"/>
          <w:numId w:val="1005"/>
        </w:numPr>
      </w:pPr>
      <w:r>
        <w:t xml:space="preserve">Gemini via Google Search;</w:t>
      </w:r>
    </w:p>
    <w:p>
      <w:pPr>
        <w:pStyle w:val="Compact"/>
        <w:numPr>
          <w:ilvl w:val="0"/>
          <w:numId w:val="1005"/>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43"/>
    <w:bookmarkStart w:id="56" w:name="appendix-b-copula-examples"/>
    <w:p>
      <w:pPr>
        <w:pStyle w:val="Heading2"/>
      </w:pPr>
      <w:r>
        <w:t xml:space="preserve">Appendix B: Copula examples</w:t>
      </w:r>
    </w:p>
    <w:p>
      <w:pPr>
        <w:pStyle w:val="FirstParagraph"/>
      </w:pPr>
      <w:r>
        <w:rPr>
          <w:b/>
          <w:bCs/>
        </w:rPr>
        <w:t xml:space="preserve">Gaussian copula.</w:t>
      </w:r>
    </w:p>
    <w:p>
      <w:pPr>
        <w:pStyle w:val="CaptionedFigure"/>
      </w:pPr>
      <w:r>
        <w:drawing>
          <wp:inline>
            <wp:extent cx="5911272" cy="4433454"/>
            <wp:effectExtent b="0" l="0" r="0" t="0"/>
            <wp:docPr descr="Figure A.1: Uniform scenarios for Gaussian_copula, numerical simulation." title="" id="45" name="Picture"/>
            <a:graphic>
              <a:graphicData uri="http://schemas.openxmlformats.org/drawingml/2006/picture">
                <pic:pic>
                  <pic:nvPicPr>
                    <pic:cNvPr descr="figures\Uniform_scenarios_Gaussian_copula_(numerical_simulation).png" id="46" name="Picture"/>
                    <pic:cNvPicPr>
                      <a:picLocks noChangeArrowheads="1" noChangeAspect="1"/>
                    </pic:cNvPicPr>
                  </pic:nvPicPr>
                  <pic:blipFill>
                    <a:blip r:embed="rId44"/>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A.1: Uniform scenarios for Gaussian_copula, numerical simulation.</w:t>
      </w:r>
    </w:p>
    <w:p>
      <w:pPr>
        <w:pStyle w:val="CaptionedFigure"/>
      </w:pPr>
      <w:r>
        <w:drawing>
          <wp:inline>
            <wp:extent cx="5911272" cy="4433454"/>
            <wp:effectExtent b="0" l="0" r="0" t="0"/>
            <wp:docPr descr="Figure A.2: Contour plot for Gaussian copula, numerical simulation." title="" id="48" name="Picture"/>
            <a:graphic>
              <a:graphicData uri="http://schemas.openxmlformats.org/drawingml/2006/picture">
                <pic:pic>
                  <pic:nvPicPr>
                    <pic:cNvPr descr="figures\Contour_plot_Gaussian_copula_(numerical_simulation).png" id="49" name="Picture"/>
                    <pic:cNvPicPr>
                      <a:picLocks noChangeArrowheads="1" noChangeAspect="1"/>
                    </pic:cNvPicPr>
                  </pic:nvPicPr>
                  <pic:blipFill>
                    <a:blip r:embed="rId47"/>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A.2: Contour plot for Gaussian copula, numerical simulation.</w:t>
      </w:r>
    </w:p>
    <w:p>
      <w:r>
        <w:pict>
          <v:rect style="width:0;height:1.5pt" o:hralign="center" o:hrstd="t" o:hr="t"/>
        </w:pict>
      </w:r>
    </w:p>
    <w:p>
      <w:pPr>
        <w:pStyle w:val="FirstParagraph"/>
      </w:pPr>
      <w:r>
        <w:rPr>
          <w:b/>
          <w:bCs/>
        </w:rPr>
        <w:t xml:space="preserve">Cauchy copula.</w:t>
      </w:r>
    </w:p>
    <w:p>
      <w:pPr>
        <w:pStyle w:val="CaptionedFigure"/>
      </w:pPr>
      <w:r>
        <w:drawing>
          <wp:inline>
            <wp:extent cx="5911272" cy="4433454"/>
            <wp:effectExtent b="0" l="0" r="0" t="0"/>
            <wp:docPr descr="Figure A.3: Uniform scenarios for Cauchy copula, numerical simulation." title="" id="51" name="Picture"/>
            <a:graphic>
              <a:graphicData uri="http://schemas.openxmlformats.org/drawingml/2006/picture">
                <pic:pic>
                  <pic:nvPicPr>
                    <pic:cNvPr descr="figures\Uniform_scenarios_Cauchy_copula_(numerical_simulation).png" id="52" name="Picture"/>
                    <pic:cNvPicPr>
                      <a:picLocks noChangeArrowheads="1" noChangeAspect="1"/>
                    </pic:cNvPicPr>
                  </pic:nvPicPr>
                  <pic:blipFill>
                    <a:blip r:embed="rId50"/>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A.3: Uniform scenarios for Cauchy copula, numerical simulation.</w:t>
      </w:r>
    </w:p>
    <w:p>
      <w:pPr>
        <w:pStyle w:val="CaptionedFigure"/>
      </w:pPr>
      <w:r>
        <w:drawing>
          <wp:inline>
            <wp:extent cx="5911272" cy="4433454"/>
            <wp:effectExtent b="0" l="0" r="0" t="0"/>
            <wp:docPr descr="Figure A.4: Contour plot for Cauchy copula, numerical simulation." title="" id="54" name="Picture"/>
            <a:graphic>
              <a:graphicData uri="http://schemas.openxmlformats.org/drawingml/2006/picture">
                <pic:pic>
                  <pic:nvPicPr>
                    <pic:cNvPr descr="figures\Contour_plot_Cauchy_copula_(numerical_simulation).png" id="55" name="Picture"/>
                    <pic:cNvPicPr>
                      <a:picLocks noChangeArrowheads="1" noChangeAspect="1"/>
                    </pic:cNvPicPr>
                  </pic:nvPicPr>
                  <pic:blipFill>
                    <a:blip r:embed="rId53"/>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A.4: Contour plot for Cauchy copula, numerical simulation.</w:t>
      </w:r>
    </w:p>
    <w:bookmarkEnd w:id="56"/>
    <w:bookmarkEnd w:id="57"/>
    <w:sectPr w:rsidR="00EE35AF">
      <w:footerReference r:id="rId8"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105BCE"/>
    <w:rsid w:val="001411FC"/>
    <w:rsid w:val="001847CA"/>
    <w:rsid w:val="00250697"/>
    <w:rsid w:val="00305EFF"/>
    <w:rsid w:val="004E53F9"/>
    <w:rsid w:val="004F6E94"/>
    <w:rsid w:val="00567562"/>
    <w:rsid w:val="00613D1E"/>
    <w:rsid w:val="006D61CA"/>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21" Target="media/rId21.png" /><Relationship Type="http://schemas.openxmlformats.org/officeDocument/2006/relationships/image" Id="rId50" Target="media/rId50.png" /><Relationship Type="http://schemas.openxmlformats.org/officeDocument/2006/relationships/image" Id="rId44" Target="media/rId44.png" /><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dcterms:created xsi:type="dcterms:W3CDTF">2026-08-06T12:30:30Z</dcterms:created>
  <dcterms:modified xsi:type="dcterms:W3CDTF">2026-08-06T12:30:30Z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30 September 2026. Word count: 2639</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