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png" ContentType="image/png"/>
  <Override PartName="/word/media/rId47.png" ContentType="image/png"/>
  <Override PartName="/word/media/rId32.png" ContentType="image/png"/>
  <Override PartName="/word/media/rId29.png" ContentType="image/png"/>
  <Override PartName="/word/media/rId21.png" ContentType="image/png"/>
  <Override PartName="/word/media/rId5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30 September 2026. Word count: 2639</w:t>
      </w:r>
    </w:p>
    <w:p>
      <w:pPr>
        <w:pStyle w:val="AbstractTitle"/>
      </w:pPr>
      <w:r>
        <w:t xml:space="preserve">Abstract</w:t>
      </w:r>
    </w:p>
    <w:p>
      <w:pPr>
        <w:pStyle w:val="Abstract"/>
      </w:pPr>
      <w:r>
        <w:t xml:space="preserve">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deep‑neural‑network will be trained to learn the calibrated parameters directly from the data, and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w:t>
      </w:r>
      <w:r>
        <w:t xml:space="preserve"> </w:t>
      </w:r>
      <w:r>
        <w:t xml:space="preserve">Nevertheless, joint analytics of high dimensionality (e.g., &gt;100 random factors) still present serious challenges.</w:t>
      </w:r>
      <w:r>
        <w:t xml:space="preserve"> </w:t>
      </w:r>
      <w:r>
        <w:t xml:space="preserve">This task is hard to address with classical statistical methods, and the available toolset is quite limited, i.e., mainly based on Gaussian copulas.</w:t>
      </w:r>
      <w:r>
        <w:t xml:space="preserve"> </w:t>
      </w:r>
      <w:r>
        <w:t xml:space="preserve">There is hope that advances in ML/AI algorithms and corresponding software libraries will help expand this toolset and provide alternative approaches for modelling high-dimensional joint dependency.</w:t>
      </w:r>
    </w:p>
    <w:p>
      <w:pPr>
        <w:pStyle w:val="BodyText"/>
      </w:pPr>
      <w:r>
        <w:t xml:space="preserve">This MSc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 and a risk mitigation analysis.</w:t>
      </w:r>
    </w:p>
    <w:bookmarkEnd w:id="17"/>
    <w:bookmarkStart w:id="18" w:name="aims-and-objectives"/>
    <w:p>
      <w:pPr>
        <w:pStyle w:val="Heading1"/>
      </w:pPr>
      <w:r>
        <w:t xml:space="preserve">Aims and Objectives</w:t>
      </w:r>
    </w:p>
    <w:p>
      <w:pPr>
        <w:pStyle w:val="FirstParagraph"/>
      </w:pPr>
      <w:r>
        <w:t xml:space="preserve">The main aim of this project is to develop a Machine Learning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BodyText"/>
      </w:pPr>
      <w:r>
        <w:t xml:space="preserve">To create this new algorithm empirically requires to develop a software for extracting and caching market data, with subsequent incorporation of calculations of portfolio Value-at-Risk (VaR) and/or Expected Shortfall (ES) measures, which are computationally intensive on their own. To create my</w:t>
      </w:r>
      <w:r>
        <w:t xml:space="preserve"> </w:t>
      </w:r>
      <w:r>
        <w:t xml:space="preserve">‘workbench’</w:t>
      </w:r>
      <w:r>
        <w:t xml:space="preserve"> </w:t>
      </w:r>
      <w:r>
        <w:t xml:space="preserve">I will implement Monte Carlo simulations using various copulas within the application, in addition to providing support for the pure historical calculation methods (which will serve as an assessment baseline).</w:t>
      </w:r>
    </w:p>
    <w:p>
      <w:pPr>
        <w:pStyle w:val="BodyText"/>
      </w:pPr>
      <w:r>
        <w:t xml:space="preserve">Upon completion of the initial software development, I plan to conduct an experimental analysis to evaluate the impact of copula assumptions on the selected VaR / ES measures (defined below) across distinct portfolios. Following this, establish a calibration procedure aimed at fitting appropriate copulas to real-world market data. Lastly, devise a testing exercise to verify whether the calibrated copulas align with the prescribed conditions and evaluate results against the literature baselines.</w:t>
      </w:r>
    </w:p>
    <w:bookmarkEnd w:id="18"/>
    <w:bookmarkStart w:id="28" w:name="X32b9430d5d15411fac62685483839fe9d87a9a8"/>
    <w:p>
      <w:pPr>
        <w:pStyle w:val="Heading1"/>
      </w:pPr>
      <w:r>
        <w:t xml:space="preserve">Description of the problem and relevant work</w:t>
      </w:r>
    </w:p>
    <w:bookmarkStart w:id="26" w:name="key-concepts"/>
    <w:p>
      <w:pPr>
        <w:pStyle w:val="Heading2"/>
      </w:pPr>
      <w:r>
        <w:t xml:space="preserve">Key concepts</w:t>
      </w:r>
    </w:p>
    <w:bookmarkStart w:id="19" w:name="X2df427def89a3ef237a42aa6bbd525f6362f6e2"/>
    <w:p>
      <w:pPr>
        <w:pStyle w:val="Heading3"/>
      </w:pPr>
      <w:r>
        <w:t xml:space="preserve">Value-at-Risk (VaR) and expected shortfall (ES)</w:t>
      </w:r>
    </w:p>
    <w:p>
      <w:pPr>
        <w:pStyle w:val="FirstParagraph"/>
      </w:pPr>
      <w:r>
        <w:t xml:space="preserve">According to classic Jorion’s work</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losses over the target horizon. In simple terms it summarizes the worst loss that will not be exceeded with a given level of confidence.</w:t>
      </w:r>
    </w:p>
    <w:p>
      <w:pPr>
        <w:pStyle w:val="BodyText"/>
      </w:pPr>
      <m:oMathPara>
        <m:oMathParaPr>
          <m:jc m:val="center"/>
        </m:oMathParaPr>
        <m:oMath>
          <m:sSub>
            <m:e>
              <m:r>
                <m:rPr>
                  <m:sty m:val="p"/>
                </m:rPr>
                <m:t>V</m:t>
              </m:r>
              <m:r>
                <m:rPr>
                  <m:sty m:val="p"/>
                </m:rPr>
                <m:t>a</m:t>
              </m:r>
              <m:r>
                <m:rPr>
                  <m:sty m:val="p"/>
                </m:rPr>
                <m:t>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BodyText"/>
      </w:pPr>
      <w:r>
        <w:t xml:space="preserve">On the other hand, Expected Shortfall (ES) measures the average loss in the tail of a loss distribution:</w:t>
      </w:r>
    </w:p>
    <w:p>
      <w:pPr>
        <w:pStyle w:val="BodyText"/>
      </w:pPr>
      <m:oMathPara>
        <m:oMathParaPr>
          <m:jc m:val="center"/>
        </m:oMathParaPr>
        <m:oMath>
          <m:r>
            <m:t>E</m:t>
          </m:r>
          <m:sSub>
            <m:e>
              <m:r>
                <m:t>S</m:t>
              </m:r>
            </m:e>
            <m:sub>
              <m:r>
                <m:t>α</m:t>
              </m:r>
            </m:sub>
          </m:sSub>
          <m:r>
            <m:rPr>
              <m:sty m:val="p"/>
            </m:rPr>
            <m:t>(</m:t>
          </m:r>
          <m:r>
            <m:t>L</m:t>
          </m:r>
          <m:r>
            <m:rPr>
              <m:sty m:val="p"/>
            </m:rPr>
            <m:t>)</m:t>
          </m:r>
          <m:r>
            <m:rPr>
              <m:sty m:val="p"/>
            </m:rPr>
            <m:t>=</m:t>
          </m:r>
          <m:f>
            <m:fPr>
              <m:type m:val="bar"/>
            </m:fPr>
            <m:num>
              <m:r>
                <m:t>1</m:t>
              </m:r>
            </m:num>
            <m:den>
              <m:r>
                <m:t>1</m:t>
              </m:r>
              <m:r>
                <m:rPr>
                  <m:sty m:val="p"/>
                </m:rPr>
                <m:t>−</m:t>
              </m:r>
              <m:r>
                <m:t>α</m:t>
              </m:r>
            </m:den>
          </m:f>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r>
            <m:rPr>
              <m:sty m:val="p"/>
            </m:rPr>
            <m:t>.</m:t>
          </m:r>
        </m:oMath>
      </m:oMathPara>
    </w:p>
    <w:p>
      <w:pPr>
        <w:pStyle w:val="FirstParagraph"/>
      </w:pPr>
      <w:r>
        <w:t xml:space="preserve">Additional details and relevant industry discussions about ES are available in Cont et. al. </w:t>
      </w:r>
      <w:hyperlink w:anchor="references">
        <w:r>
          <w:rPr>
            <w:rStyle w:val="Hyperlink"/>
          </w:rPr>
          <w:t xml:space="preserve">[4]</w:t>
        </w:r>
      </w:hyperlink>
      <w:r>
        <w:t xml:space="preserve">.</w:t>
      </w:r>
    </w:p>
    <w:p>
      <w:pPr>
        <w:pStyle w:val="BodyText"/>
      </w:pPr>
      <w:r>
        <w:t xml:space="preserve">Today there are several main contesting industry spread approaches to VaR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 and</w:t>
      </w:r>
    </w:p>
    <w:p>
      <w:pPr>
        <w:pStyle w:val="Compact"/>
        <w:numPr>
          <w:ilvl w:val="0"/>
          <w:numId w:val="1001"/>
        </w:numPr>
      </w:pPr>
      <w:r>
        <w:t xml:space="preserve">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w:t>
      </w:r>
      <w:r>
        <w:t xml:space="preserve"> </w:t>
      </w:r>
      <w:r>
        <w:t xml:space="preserve">While HVaR does allow for filtration techniques to refine marginal distributions, this flexibility does not extend to the dependence structure, meaning it cannot effectively separate the modelling of marginals from the copula that links them.</w:t>
      </w:r>
      <w:r>
        <w:t xml:space="preserve"> </w:t>
      </w:r>
      <w:r>
        <w:t xml:space="preserve">As a result, the approach struggles to capture complex joint behaviours in a structured way.</w:t>
      </w:r>
      <w:r>
        <w:t xml:space="preserve"> </w:t>
      </w:r>
      <w:r>
        <w:t xml:space="preserve">Another related critical drawback is the high numerical error associated with HVaR, stemming from the finite and often sparse nature of historical data, especially in the tails.</w:t>
      </w:r>
      <w:r>
        <w:t xml:space="preserve"> </w:t>
      </w:r>
      <w:r>
        <w:t xml:space="preserve">On the other hand, the relative strength of the method is its low model error (very few assumptions used), since it does not impose strong parametric assumptions but instead directly uses empirical distributions.</w:t>
      </w:r>
      <w:r>
        <w:t xml:space="preserve"> </w:t>
      </w:r>
      <w:r>
        <w:t xml:space="preserve">This makes it robust in scenarios where the true data-generating process is unknown and there are no other available benchmarks, though at the cost of precision in extreme quantiles.</w:t>
      </w:r>
    </w:p>
    <w:p>
      <w:pPr>
        <w:pStyle w:val="BodyText"/>
      </w:pPr>
      <w:r>
        <w:t xml:space="preserve">In contrast, Monte Carlo Value-at-Risk (MC VaR), whether based on parametric assumptions or Extreme Value Theory (EVT) see</w:t>
      </w:r>
      <w:r>
        <w:t xml:space="preserve"> </w:t>
      </w:r>
      <w:hyperlink w:anchor="references">
        <w:r>
          <w:rPr>
            <w:rStyle w:val="Hyperlink"/>
          </w:rPr>
          <w:t xml:space="preserve">[1]</w:t>
        </w:r>
      </w:hyperlink>
      <w:r>
        <w:t xml:space="preserve">, offers distinct advantages for high-percentile risk estimation.</w:t>
      </w:r>
      <w:r>
        <w:t xml:space="preserve"> </w:t>
      </w:r>
      <w:r>
        <w:t xml:space="preserve">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w:t>
      </w:r>
      <w:r>
        <w:t xml:space="preserve"> </w:t>
      </w:r>
      <w:r>
        <w:t xml:space="preserve">This separation enhances flexibility in modelling dependence structure while maintaining control over individual risk factors.</w:t>
      </w:r>
    </w:p>
    <w:p>
      <w:pPr>
        <w:pStyle w:val="BodyText"/>
      </w:pPr>
      <w:r>
        <w:t xml:space="preserve">From a computational perspective, MC VaR methods exhibit low numerical error, as the simulated datasets can be made arbitrarily large to smooth out estimation noise.</w:t>
      </w:r>
      <w:r>
        <w:t xml:space="preserve"> </w:t>
      </w:r>
      <w:r>
        <w:t xml:space="preserve">However, this precision comes at the expense of higher model error, particularly when parametric assumptions are mis specified or when EVT extrapolations deviate from true tail behaviour.</w:t>
      </w:r>
      <w:r>
        <w:t xml:space="preserve"> </w:t>
      </w:r>
      <w:r>
        <w:t xml:space="preserve">While these methods provide greater control and extensibility in extreme-risk modelling, their reliability hinges on the accuracy of the underlying assumptions, whether in the choice of distributions, copula functions, or tail decay parameters.</w:t>
      </w:r>
    </w:p>
    <w:bookmarkEnd w:id="19"/>
    <w:bookmarkStart w:id="20" w:name="copulas"/>
    <w:p>
      <w:pPr>
        <w:pStyle w:val="Heading3"/>
      </w:pPr>
      <w:r>
        <w:t xml:space="preserve">Copulas</w:t>
      </w:r>
    </w:p>
    <w:p>
      <w:pPr>
        <w:pStyle w:val="FirstParagraph"/>
      </w:pPr>
      <w:r>
        <w:t xml:space="preserve">In this section we briefly introduce the concept of copulas and provide additional references, followed by a discussion of the impact it has on VaR/ES measures.</w:t>
      </w:r>
    </w:p>
    <w:p>
      <w:pPr>
        <w:pStyle w:val="BodyText"/>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marginals (i.e. each dimension) following a uniform distribution.</w:t>
      </w:r>
    </w:p>
    <w:p>
      <w:pPr>
        <w:pStyle w:val="BodyText"/>
      </w:pPr>
      <w:r>
        <w:t xml:space="preserve">Sklar’s theorem (see also in</w:t>
      </w:r>
      <w:r>
        <w:t xml:space="preserve"> </w:t>
      </w:r>
      <w:hyperlink w:anchor="references">
        <w:r>
          <w:rPr>
            <w:rStyle w:val="Hyperlink"/>
          </w:rPr>
          <w:t xml:space="preserve">[2]</w:t>
        </w:r>
      </w:hyperlink>
      <w:r>
        <w:t xml:space="preserve">).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 variable</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m:oMathPara>
        <m:oMathParaPr>
          <m:jc m:val="center"/>
        </m:oMathParaPr>
        <m:oMath>
          <m:r>
            <m:t>H</m:t>
          </m:r>
          <m:r>
            <m:rPr>
              <m:sty m:val="p"/>
            </m:rPr>
            <m:t>(</m:t>
          </m:r>
          <m:sSub>
            <m:e>
              <m:r>
                <m:t>x</m:t>
              </m:r>
            </m:e>
            <m:sub>
              <m:r>
                <m:t>1</m:t>
              </m:r>
            </m:sub>
          </m:sSub>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rPr>
              <m:sty m:val="p"/>
            </m:rPr>
            <m:t>,</m:t>
          </m:r>
        </m:oMath>
      </m:oMathPara>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copulas which will be significant for the current project:</w:t>
      </w:r>
    </w:p>
    <w:p>
      <w:pPr>
        <w:numPr>
          <w:ilvl w:val="0"/>
          <w:numId w:val="1002"/>
        </w:numPr>
      </w:pPr>
      <w:r>
        <w:t xml:space="preserve">A convex combination (i.e. all weights are non-negative and sum to exactly one)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r>
          <m:rPr>
            <m:sty m:val="p"/>
          </m:rPr>
          <m:t>.</m:t>
        </m:r>
      </m:oMath>
    </w:p>
    <w:p>
      <w:pPr>
        <w:numPr>
          <w:ilvl w:val="0"/>
          <w:numId w:val="1002"/>
        </w:numPr>
      </w:pPr>
      <w:r>
        <w:t xml:space="preserve">There exists a class of functions (W-transforms) applied to copula and also returning copula but with modified properties.</w:t>
      </w:r>
    </w:p>
    <w:p>
      <w:pPr>
        <w:numPr>
          <w:ilvl w:val="0"/>
          <w:numId w:val="1002"/>
        </w:numPr>
      </w:pPr>
      <w:r>
        <w:t xml:space="preserve">For additional details on these transformations and their properties please see</w:t>
      </w:r>
      <w:r>
        <w:t xml:space="preserve"> </w:t>
      </w:r>
      <w:hyperlink w:anchor="references">
        <w:r>
          <w:rPr>
            <w:rStyle w:val="Hyperlink"/>
          </w:rPr>
          <w:t xml:space="preserve">[9]</w:t>
        </w:r>
      </w:hyperlink>
      <w:r>
        <w:t xml:space="preserve">.</w:t>
      </w:r>
    </w:p>
    <w:p>
      <w:pPr>
        <w:pStyle w:val="FirstParagraph"/>
      </w:pPr>
      <w:r>
        <w:t xml:space="preserve">One of the most widely used copula is the one constructed from a multivariate normal distribution by using the probability integral transform, Gaussian copula, see</w:t>
      </w:r>
      <w:r>
        <w:t xml:space="preserve"> </w:t>
      </w:r>
      <w:hyperlink w:anchor="references">
        <w:r>
          <w:rPr>
            <w:rStyle w:val="Hyperlink"/>
          </w:rPr>
          <w:t xml:space="preserve">[2]</w:t>
        </w:r>
      </w:hyperlink>
      <w:r>
        <w:t xml:space="preserve"> </w:t>
      </w:r>
      <w:r>
        <w:t xml:space="preserve">for additional details.</w:t>
      </w:r>
    </w:p>
    <w:bookmarkEnd w:id="20"/>
    <w:bookmarkStart w:id="24" w:name="copulas-in-value-at-risk"/>
    <w:p>
      <w:pPr>
        <w:pStyle w:val="Heading3"/>
      </w:pPr>
      <w:r>
        <w:t xml:space="preserve">Copulas in Value-at-Risk</w:t>
      </w:r>
    </w:p>
    <w:p>
      <w:pPr>
        <w:pStyle w:val="FirstParagraph"/>
      </w:pPr>
      <w:r>
        <w:t xml:space="preserve">The selection of a copula has a significant influence on the assessment of tail‑risk measures such as Value‑at‑Risk (VaR) / Expected Shortfall (ES).</w:t>
      </w:r>
      <w:r>
        <w:t xml:space="preserve"> </w:t>
      </w:r>
      <w:r>
        <w:t xml:space="preserve">This influence becomes increasingly pronounced as we move to more extreme quantiles (e.g. 99 % and 99.9 % VaR).</w:t>
      </w:r>
      <w:r>
        <w:t xml:space="preserve"> </w:t>
      </w:r>
      <w:r>
        <w:t xml:space="preserve">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w:t>
      </w:r>
      <w:r>
        <w:t xml:space="preserve"> </w:t>
      </w:r>
      <w:r>
        <w:t xml:space="preserve">Consequently, the Gaussian Copula systematically under‑estimates the likelihood of joint extreme events and, therefore, under‑states tail‑risk metrics.</w:t>
      </w:r>
    </w:p>
    <w:p>
      <w:pPr>
        <w:pStyle w:val="BodyText"/>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BodyText"/>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r>
            <m:rPr>
              <m:sty m:val="p"/>
            </m:rPr>
            <m:t>,</m:t>
          </m:r>
        </m:oMath>
      </m:oMathPara>
    </w:p>
    <w:p>
      <w:pPr>
        <w:pStyle w:val="FirstParagraph"/>
      </w:pPr>
      <w:r>
        <w:t xml:space="preserve">where</w:t>
      </w:r>
      <w:r>
        <w:t xml:space="preserve"> </w:t>
      </w:r>
      <m:oMath>
        <m:sSub>
          <m:e>
            <m:r>
              <m:t>G</m:t>
            </m:r>
          </m:e>
          <m:sub>
            <m:r>
              <m:t>i</m:t>
            </m:r>
          </m:sub>
        </m:sSub>
        <m:r>
          <m:rPr>
            <m:sty m:val="p"/>
          </m:rPr>
          <m:t>,</m:t>
        </m:r>
        <m:sSub>
          <m:e>
            <m:r>
              <m:t>G</m:t>
            </m:r>
          </m:e>
          <m:sub>
            <m:r>
              <m:t>j</m:t>
            </m:r>
          </m:sub>
        </m:sSub>
      </m:oMath>
      <w:r>
        <w:t xml:space="preserve"> </w:t>
      </w:r>
      <w:r>
        <w:t xml:space="preserve">are marginal CDFs, while</w:t>
      </w:r>
      <w:r>
        <w:t xml:space="preserve"> </w:t>
      </w:r>
      <m:oMath>
        <m:sSubSup>
          <m:e>
            <m:r>
              <m:t>G</m:t>
            </m:r>
          </m:e>
          <m:sub>
            <m:r>
              <m:t>i</m:t>
            </m:r>
          </m:sub>
          <m:sup>
            <m:r>
              <m:rPr>
                <m:sty m:val="p"/>
              </m:rPr>
              <m:t>−</m:t>
            </m:r>
            <m:r>
              <m:t>1</m:t>
            </m:r>
          </m:sup>
        </m:sSubSup>
        <m:r>
          <m:rPr>
            <m:sty m:val="p"/>
          </m:rPr>
          <m:t>,</m:t>
        </m:r>
        <m:sSubSup>
          <m:e>
            <m:r>
              <m:t>G</m:t>
            </m:r>
          </m:e>
          <m:sub>
            <m:r>
              <m:t>j</m:t>
            </m:r>
          </m:sub>
          <m:sup>
            <m:r>
              <m:rPr>
                <m:sty m:val="p"/>
              </m:rPr>
              <m:t>−</m:t>
            </m:r>
            <m:r>
              <m:t>1</m:t>
            </m:r>
          </m:sup>
        </m:sSubSup>
      </m:oMath>
      <w:r>
        <w:t xml:space="preserve"> </w:t>
      </w:r>
      <w:r>
        <w:t xml:space="preserve">are inverse CDFs respectively.</w:t>
      </w:r>
    </w:p>
    <w:p>
      <w:pPr>
        <w:pStyle w:val="BodyText"/>
      </w:pPr>
      <w:r>
        <w:t xml:space="preserve">High levels of tail dependence essentially means that the extremes of</w:t>
      </w:r>
      <w:r>
        <w:t xml:space="preserve"> </w:t>
      </w:r>
      <m:oMath>
        <m:sSub>
          <m:e>
            <m:r>
              <m:t>X</m:t>
            </m:r>
          </m:e>
          <m:sub>
            <m:r>
              <m:t>i</m:t>
            </m:r>
          </m:sub>
        </m:sSub>
      </m:oMath>
      <w:r>
        <w:t xml:space="preserve"> </w:t>
      </w:r>
      <w:r>
        <w:t xml:space="preserve">and</w:t>
      </w:r>
      <w:r>
        <w:t xml:space="preserve"> </w:t>
      </w:r>
      <m:oMath>
        <m:sSub>
          <m:e>
            <m:r>
              <m:t>X</m:t>
            </m:r>
          </m:e>
          <m:sub>
            <m:r>
              <m:t>j</m:t>
            </m:r>
          </m:sub>
        </m:sSub>
      </m:oMath>
      <w:r>
        <w:t xml:space="preserve"> </w:t>
      </w:r>
      <w:r>
        <w:t xml:space="preserve">occur more in unison. By computing these tail‑dependence coefficients, one can directly compare how different copulas treat extreme co‑movements.</w:t>
      </w:r>
      <w:r>
        <w:t xml:space="preserve"> </w:t>
      </w:r>
      <w:r>
        <w:t xml:space="preserve">The contrast is stark: while a Gaussian copula predicts virtually no joint tail events, for example Cauchy (Student-T with zero degrees of freedom) assigns a non‑negligible probability to simultaneous extreme losses.</w:t>
      </w:r>
      <w:r>
        <w:t xml:space="preserve"> </w:t>
      </w:r>
      <w:r>
        <w:t xml:space="preserve">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w:t>
      </w:r>
      <w:r>
        <w:t xml:space="preserve"> </w:t>
      </w:r>
      <w:r>
        <w:t xml:space="preserve">This disparity translates into markedly different VaR and ES estimates, especially at the highest percentiles.</w:t>
      </w:r>
      <w:r>
        <w:t xml:space="preserve"> </w:t>
      </w:r>
      <w:r>
        <w:t xml:space="preserve">Consequently, when modelling portfolio risk that is sensitive to rare but severe events, choosing a copula with appropriate tail dependence is essential.</w:t>
      </w:r>
      <w:r>
        <w:t xml:space="preserve"> </w:t>
      </w:r>
      <w:r>
        <w:t xml:space="preserve">Otherwise, VaR and ES risk measures may be substantially understated.</w:t>
      </w:r>
    </w:p>
    <w:p>
      <w:pPr>
        <w:pStyle w:val="BodyText"/>
      </w:pPr>
      <w:r>
        <w:t xml:space="preserve">Figure 1 below compares historically observed tail dependence (the orange line) with the one of Gaussian and Cauchy copulas i.e. Student-T with zero degrees of freedom (the blue and green lines respectively).</w:t>
      </w:r>
      <w:r>
        <w:t xml:space="preserve"> </w:t>
      </w:r>
      <w:r>
        <w:t xml:space="preserve">The vertical axis measures tail dependence, while the horizontal axis displays the chosen percentile.</w:t>
      </w:r>
      <w:r>
        <w:t xml:space="preserve"> </w:t>
      </w:r>
      <w:r>
        <w:t xml:space="preserve">As the graphs reveal, the discrepancy between the observed and Gaussian tail dependence expands significantly when more risk factors considered together. It is based on 20Y of market price historical observations data (2002-2022) for 2 names Microsoft and Morgan Stanley and 5 names with additionally Google, Amazon and JP Morgan.</w:t>
      </w:r>
    </w:p>
    <w:p>
      <w:pPr>
        <w:pStyle w:val="CaptionedFigure"/>
      </w:pPr>
      <w:r>
        <w:drawing>
          <wp:inline>
            <wp:extent cx="5943600" cy="2402731"/>
            <wp:effectExtent b="0" l="0" r="0" t="0"/>
            <wp:docPr descr="Figure 1: Tail dependence for different types of copulas and different number of random variables." title="" id="22" name="Picture"/>
            <a:graphic>
              <a:graphicData uri="http://schemas.openxmlformats.org/drawingml/2006/picture">
                <pic:pic>
                  <pic:nvPicPr>
                    <pic:cNvPr descr="figures\Tail_dependance.png" id="23" name="Picture"/>
                    <pic:cNvPicPr>
                      <a:picLocks noChangeArrowheads="1" noChangeAspect="1"/>
                    </pic:cNvPicPr>
                  </pic:nvPicPr>
                  <pic:blipFill>
                    <a:blip r:embed="rId21"/>
                    <a:stretch>
                      <a:fillRect/>
                    </a:stretch>
                  </pic:blipFill>
                  <pic:spPr bwMode="auto">
                    <a:xfrm>
                      <a:off x="0" y="0"/>
                      <a:ext cx="5943600" cy="2402731"/>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bookmarkEnd w:id="24"/>
    <w:bookmarkStart w:id="25" w:name="economics-of-the-cauchy-copula"/>
    <w:p>
      <w:pPr>
        <w:pStyle w:val="Heading3"/>
      </w:pPr>
      <w:r>
        <w:t xml:space="preserve">Economics of the Cauchy copula</w:t>
      </w:r>
    </w:p>
    <w:p>
      <w:pPr>
        <w:pStyle w:val="FirstParagraph"/>
      </w:pPr>
      <w:r>
        <w:t xml:space="preserve">The Cauchy copula is a statistical technique for capturing dependence structures, especially when modelling tail‑risk or extreme events.</w:t>
      </w:r>
      <w:r>
        <w:t xml:space="preserve"> </w:t>
      </w:r>
      <w:r>
        <w:t xml:space="preserve">Its principal advantage lies in preserving the overall correlation matrix of the underlying variables while simultaneously enabling the generation of scenarios that exhibit much heavier tails (joint‑movement) and de-correlation.</w:t>
      </w:r>
      <w:r>
        <w:t xml:space="preserve"> </w:t>
      </w:r>
      <w:r>
        <w:t xml:space="preserve">In practice, this means that the copula retains the familiar linear dependence captured by Pearson‑type correlations, yet it can produce joint realizations that reflect the heightened co‑movement observed during rare, high‑impact shocks.</w:t>
      </w:r>
    </w:p>
    <w:p>
      <w:pPr>
        <w:pStyle w:val="BodyText"/>
      </w:pPr>
      <w:r>
        <w:t xml:space="preserve">De‑correlation scenarios describe circumstances in which variables that normally exhibit a strong positive (or negative) relationship suddenly lose that linkage when stress or extreme events materializes.</w:t>
      </w:r>
      <w:r>
        <w:t xml:space="preserve"> </w:t>
      </w:r>
      <w:r>
        <w:t xml:space="preserve">In other words, the usual together‑ness of the data breaks down. A classic illustration comes from equity markets: two stocks that historically track each other, e.g., because they belong to the same industry, may abruptly move in opposite directions during a stress event. For example, Google vs. Microsoft - Google taking over Microsoft business after Microsoft collapses.</w:t>
      </w:r>
    </w:p>
    <w:p>
      <w:pPr>
        <w:pStyle w:val="BodyText"/>
      </w:pPr>
      <w:r>
        <w:t xml:space="preserve">On the other hand, joint‑movement scenarios involve a set of variables that, despite exhibiting only modest or even negligible correlation under normal conditions, all swing in the same direction because they are all exposed to a common extreme driver.</w:t>
      </w:r>
      <w:r>
        <w:t xml:space="preserve"> </w:t>
      </w:r>
      <w:r>
        <w:t xml:space="preserve">Examples are severe natural disasters that simultaneously spike commodity prices, or a sovereign default that forces both sovereign bond yields and the domestic currency to deteriorate together.</w:t>
      </w:r>
      <w:r>
        <w:t xml:space="preserve"> </w:t>
      </w:r>
      <w:r>
        <w:t xml:space="preserve">In these cases, the common shock creates a temporary, high‑intensity dependence that standard correlation estimates fail to capture.</w:t>
      </w:r>
    </w:p>
    <w:p>
      <w:pPr>
        <w:pStyle w:val="BodyText"/>
      </w:pPr>
      <w:r>
        <w:t xml:space="preserve">Both types of scenarios are crucial for robust risk assessment.</w:t>
      </w:r>
      <w:r>
        <w:t xml:space="preserve"> </w:t>
      </w:r>
      <w:r>
        <w:t xml:space="preserve">De‑correlation highlights the risk of assets that are supposed to hedge each other stop doing so, while joint‑movement emphasizes the danger of hidden tail‑dependence that can generate simultaneous losses across seemingly unrelated positions.</w:t>
      </w:r>
      <w:r>
        <w:t xml:space="preserve"> </w:t>
      </w:r>
      <w:r>
        <w:t xml:space="preserve">Modelling frameworks that can generate both behaviours would provide a more realistic picture of potential extreme outcomes than approaches that rely solely on historic linear correlations.</w:t>
      </w:r>
    </w:p>
    <w:bookmarkEnd w:id="25"/>
    <w:bookmarkEnd w:id="26"/>
    <w:bookmarkStart w:id="27" w:name="literature-review"/>
    <w:p>
      <w:pPr>
        <w:pStyle w:val="Heading2"/>
      </w:pPr>
      <w:r>
        <w:t xml:space="preserve">Literature review</w:t>
      </w:r>
    </w:p>
    <w:p>
      <w:pPr>
        <w:pStyle w:val="FirstParagraph"/>
      </w:pPr>
      <w:r>
        <w:t xml:space="preserve">The rapid advancement of generative Machine Learning techniques has generated significant interest within the financial industry, as evidenced by numerous studies (e.g., see</w:t>
      </w:r>
      <w:r>
        <w:t xml:space="preserve"> </w:t>
      </w:r>
      <w:hyperlink w:anchor="references">
        <w:r>
          <w:rPr>
            <w:rStyle w:val="Hyperlink"/>
          </w:rPr>
          <w:t xml:space="preserve">[8]</w:t>
        </w:r>
      </w:hyperlink>
      <w:r>
        <w:t xml:space="preserve"> </w:t>
      </w:r>
      <w:r>
        <w:t xml:space="preserve">for a review). However, much of the existing research has primarily focused on generating paths for either a single asset or a limited number of risk factors (as discussed in</w:t>
      </w:r>
      <w:r>
        <w:t xml:space="preserve"> </w:t>
      </w:r>
      <w:hyperlink w:anchor="references">
        <w:r>
          <w:rPr>
            <w:rStyle w:val="Hyperlink"/>
          </w:rPr>
          <w:t xml:space="preserve">[7]</w:t>
        </w:r>
      </w:hyperlink>
      <w:r>
        <w:t xml:space="preserve">). Moreover, the majority of these efforts have cantered on simulating so-called</w:t>
      </w:r>
      <w:r>
        <w:t xml:space="preserve"> </w:t>
      </w:r>
      <w:r>
        <w:t xml:space="preserve">“central scenarios,”</w:t>
      </w:r>
      <w:r>
        <w:t xml:space="preserve"> </w:t>
      </w:r>
      <w:r>
        <w:t xml:space="preserve">with limited attention given to the generation of realistic extreme scenarios. An exception to this trend can be found in</w:t>
      </w:r>
      <w:r>
        <w:t xml:space="preserve"> </w:t>
      </w:r>
      <w:hyperlink w:anchor="references">
        <w:r>
          <w:rPr>
            <w:rStyle w:val="Hyperlink"/>
          </w:rPr>
          <w:t xml:space="preserve">[5]</w:t>
        </w:r>
      </w:hyperlink>
      <w:r>
        <w:t xml:space="preserve">, which explicitly target the generation of tail events using Generative Adversarial Network (GAN) (see Cont R. et al for examples and implementation) architectures, though even these approaches remain constrained to relatively low-dimensional environments, i.e., up to 20–50 factors.</w:t>
      </w:r>
    </w:p>
    <w:p>
      <w:pPr>
        <w:pStyle w:val="BodyText"/>
      </w:pPr>
      <w:r>
        <w:t xml:space="preserve">Inspired by these works, this research seeks to extend the dimensionality of scenario generation while relaxing the requirement for path dependence. This adjustment allows us to leverage more classical tools for modelling joint dependencies, such as copulas. However, even within this framework, only Gaussian copulas (and selected Student-T) have demonstrated the capacity to scale effectively to very high dimensions. This project aims to bridge the gap between the data-driven GAN-like approaches from the literature and the scalability of copulas by developing a high-dimensional copula model capable of capturing historical tail dependence properties. The ultimate goal is to generate realistic</w:t>
      </w:r>
      <w:r>
        <w:t xml:space="preserve"> </w:t>
      </w:r>
      <w:r>
        <w:t xml:space="preserve">‘extreme’</w:t>
      </w:r>
      <w:r>
        <w:t xml:space="preserve"> </w:t>
      </w:r>
      <w:r>
        <w:t xml:space="preserve">scenarios that reflect the complex dependencies observed in financial markets.</w:t>
      </w:r>
    </w:p>
    <w:bookmarkEnd w:id="27"/>
    <w:bookmarkEnd w:id="28"/>
    <w:bookmarkStart w:id="35" w:name="methodology-and-methods"/>
    <w:p>
      <w:pPr>
        <w:pStyle w:val="Heading1"/>
      </w:pPr>
      <w:r>
        <w:t xml:space="preserve">Methodology and methods</w:t>
      </w:r>
    </w:p>
    <w:p>
      <w:pPr>
        <w:pStyle w:val="FirstParagraph"/>
      </w:pPr>
      <w:r>
        <w:t xml:space="preserve">As mentioned above, unlike studies where the intricacies of underlying asset path dynamics (such as time-dependent volatility or complex stochastic processes) are critical, this work deliberately abstracts from such details. As such there is no need to include dynamically-changing portfolios (i.e. dynamic trading strategies), we limit portfolio dimension optimization to the static core. Portfolios of approx. 500 names with all long positions and 500 long/short hedged positions will be used in this study.</w:t>
      </w:r>
    </w:p>
    <w:p>
      <w:pPr>
        <w:pStyle w:val="BodyText"/>
      </w:pPr>
      <w:r>
        <w:t xml:space="preserve">Figure 2 presents the overall workflow of the project. The aim is to calibrate copula to historical timeseries related to a list of selected portfolios.</w:t>
      </w:r>
    </w:p>
    <w:p>
      <w:pPr>
        <w:pStyle w:val="CaptionedFigure"/>
      </w:pPr>
      <w:r>
        <w:drawing>
          <wp:inline>
            <wp:extent cx="5943600" cy="2116281"/>
            <wp:effectExtent b="0" l="0" r="0" t="0"/>
            <wp:docPr descr="Figure 2: The proposed copula calibration workflow." title="" id="30" name="Picture"/>
            <a:graphic>
              <a:graphicData uri="http://schemas.openxmlformats.org/drawingml/2006/picture">
                <pic:pic>
                  <pic:nvPicPr>
                    <pic:cNvPr descr="figures\Project-workflow-high.png" id="31" name="Picture"/>
                    <pic:cNvPicPr>
                      <a:picLocks noChangeArrowheads="1" noChangeAspect="1"/>
                    </pic:cNvPicPr>
                  </pic:nvPicPr>
                  <pic:blipFill>
                    <a:blip r:embed="rId29"/>
                    <a:stretch>
                      <a:fillRect/>
                    </a:stretch>
                  </pic:blipFill>
                  <pic:spPr bwMode="auto">
                    <a:xfrm>
                      <a:off x="0" y="0"/>
                      <a:ext cx="5943600" cy="2116281"/>
                    </a:xfrm>
                    <a:prstGeom prst="rect">
                      <a:avLst/>
                    </a:prstGeom>
                    <a:noFill/>
                    <a:ln w="9525">
                      <a:noFill/>
                      <a:headEnd/>
                      <a:tailEnd/>
                    </a:ln>
                  </pic:spPr>
                </pic:pic>
              </a:graphicData>
            </a:graphic>
          </wp:inline>
        </w:drawing>
      </w:r>
    </w:p>
    <w:p>
      <w:pPr>
        <w:pStyle w:val="ImageCaption"/>
      </w:pPr>
      <w:r>
        <w:t xml:space="preserve">Figure 2: The proposed copula calibration workflow.</w:t>
      </w:r>
    </w:p>
    <w:p>
      <w:pPr>
        <w:pStyle w:val="BodyText"/>
      </w:pPr>
      <w:r>
        <w:t xml:space="preserve">Figure 3 further details the cumulative process of constructing different time series based on the observed history and representing the required data transformations.</w:t>
      </w:r>
    </w:p>
    <w:p>
      <w:pPr>
        <w:pStyle w:val="CaptionedFigure"/>
      </w:pPr>
      <w:r>
        <w:drawing>
          <wp:inline>
            <wp:extent cx="5943600" cy="3601452"/>
            <wp:effectExtent b="0" l="0" r="0" t="0"/>
            <wp:docPr descr="Figure 3: The proposed process of data transformations for copula calibration." title="" id="33" name="Picture"/>
            <a:graphic>
              <a:graphicData uri="http://schemas.openxmlformats.org/drawingml/2006/picture">
                <pic:pic>
                  <pic:nvPicPr>
                    <pic:cNvPr descr="figures\Project-workflow-detailed.png" id="34" name="Picture"/>
                    <pic:cNvPicPr>
                      <a:picLocks noChangeArrowheads="1" noChangeAspect="1"/>
                    </pic:cNvPicPr>
                  </pic:nvPicPr>
                  <pic:blipFill>
                    <a:blip r:embed="rId32"/>
                    <a:stretch>
                      <a:fillRect/>
                    </a:stretch>
                  </pic:blipFill>
                  <pic:spPr bwMode="auto">
                    <a:xfrm>
                      <a:off x="0" y="0"/>
                      <a:ext cx="5943600" cy="3601452"/>
                    </a:xfrm>
                    <a:prstGeom prst="rect">
                      <a:avLst/>
                    </a:prstGeom>
                    <a:noFill/>
                    <a:ln w="9525">
                      <a:noFill/>
                      <a:headEnd/>
                      <a:tailEnd/>
                    </a:ln>
                  </pic:spPr>
                </pic:pic>
              </a:graphicData>
            </a:graphic>
          </wp:inline>
        </w:drawing>
      </w:r>
    </w:p>
    <w:p>
      <w:pPr>
        <w:pStyle w:val="ImageCaption"/>
      </w:pPr>
      <w:r>
        <w:t xml:space="preserve">Figure 3: The proposed process of data transformations for copula calibration.</w:t>
      </w:r>
    </w:p>
    <w:p>
      <w:pPr>
        <w:pStyle w:val="BodyText"/>
      </w:pPr>
      <w:r>
        <w:t xml:space="preserve">Beyond scalability, another key advantage of the proposed architecture lies in the interpretability of results. While alternative approaches, such as Tail-GAN-based simulations, often produce outputs that are difficult to dissect or explain (see</w:t>
      </w:r>
      <w:r>
        <w:t xml:space="preserve"> </w:t>
      </w:r>
      <w:hyperlink w:anchor="references">
        <w:r>
          <w:rPr>
            <w:rStyle w:val="Hyperlink"/>
          </w:rPr>
          <w:t xml:space="preserve">[5]</w:t>
        </w:r>
      </w:hyperlink>
      <w:r>
        <w:t xml:space="preserve"> </w:t>
      </w:r>
      <w:r>
        <w:t xml:space="preserve">for a discussion), the methodology employed here offers a structure for understanding extreme scenarios. The framework decomposes market dynamics into a weighted combination of copulas (see</w:t>
      </w:r>
      <w:r>
        <w:t xml:space="preserve"> </w:t>
      </w:r>
      <w:hyperlink w:anchor="copulas">
        <w:r>
          <w:rPr>
            <w:rStyle w:val="Hyperlink"/>
          </w:rPr>
          <w:t xml:space="preserve">Copulas</w:t>
        </w:r>
      </w:hyperlink>
      <w:r>
        <w:t xml:space="preserve"> </w:t>
      </w:r>
      <w:r>
        <w:t xml:space="preserve">properties in the previous section), each with a clear and intuitive economic or statistical meaning. Not only will it enhance transparency but also provide a more actionable foundation for stress testing and capital planning. Indeed, the ability to attribute risk contributions to specific copula components is a significant improvement in practical applicability and model governance.</w:t>
      </w:r>
    </w:p>
    <w:p>
      <w:pPr>
        <w:pStyle w:val="BodyText"/>
      </w:pPr>
      <w:r>
        <w:t xml:space="preserve">The workflow described in Figure 3 will be implemented in Python with recourse to well-known Python modules that are frequently used for such type of data processing. In particular, the Scikit-learn module described in Geron’s textbook (see</w:t>
      </w:r>
      <w:r>
        <w:t xml:space="preserve"> </w:t>
      </w:r>
      <w:hyperlink w:anchor="references">
        <w:r>
          <w:rPr>
            <w:rStyle w:val="Hyperlink"/>
          </w:rPr>
          <w:t xml:space="preserve">[10]</w:t>
        </w:r>
      </w:hyperlink>
      <w:r>
        <w:t xml:space="preserve">) supply us with Python classes required to implement the workflow above and testing phase.</w:t>
      </w:r>
    </w:p>
    <w:bookmarkEnd w:id="35"/>
    <w:bookmarkStart w:id="36" w:name="Xb80ddedb553230bdae8cbf809d981d8b8ec3898"/>
    <w:p>
      <w:pPr>
        <w:pStyle w:val="Heading1"/>
      </w:pPr>
      <w:r>
        <w:t xml:space="preserve">Project development plan and risk mitigation analysis</w:t>
      </w:r>
    </w:p>
    <w:p>
      <w:pPr>
        <w:pStyle w:val="FirstParagraph"/>
      </w:pPr>
      <w:r>
        <w:t xml:space="preserve">The work is expected to start in May 2026. The development and research phases are expected to be finalized within 3 months, leaving additional time for the report preparation.</w:t>
      </w:r>
    </w:p>
    <w:p>
      <w:pPr>
        <w:pStyle w:val="Compact"/>
        <w:numPr>
          <w:ilvl w:val="0"/>
          <w:numId w:val="1003"/>
        </w:numPr>
      </w:pPr>
      <w:r>
        <w:rPr>
          <w:b/>
          <w:bCs/>
        </w:rPr>
        <w:t xml:space="preserve">Step 1 [week 1-2]:</w:t>
      </w:r>
      <w:r>
        <w:t xml:space="preserve"> </w:t>
      </w:r>
      <w:r>
        <w:t xml:space="preserve">Develop the functionality (Python) able to discover and cache the required market data from the Yahoo Finance API according to the required population, length and granularity.</w:t>
      </w:r>
    </w:p>
    <w:p>
      <w:pPr>
        <w:pStyle w:val="Compact"/>
        <w:numPr>
          <w:ilvl w:val="0"/>
          <w:numId w:val="1003"/>
        </w:numPr>
      </w:pPr>
      <w:r>
        <w:rPr>
          <w:b/>
          <w:bCs/>
        </w:rPr>
        <w:t xml:space="preserve">Step 2 [week 3-4]:</w:t>
      </w:r>
      <w:r>
        <w:t xml:space="preserve"> </w:t>
      </w:r>
      <w:r>
        <w:t xml:space="preserve">Develop the functionality able to calculate different Value-at-Risk metrics based on specified methodologies i.e. Historical VaR, Monte-Carlo VaR. The latter should be structured in a way that copula class is provided as an input, allowing calculations with different copula hypothesis.</w:t>
      </w:r>
    </w:p>
    <w:p>
      <w:pPr>
        <w:pStyle w:val="Compact"/>
        <w:numPr>
          <w:ilvl w:val="0"/>
          <w:numId w:val="1003"/>
        </w:numPr>
      </w:pPr>
      <w:r>
        <w:rPr>
          <w:b/>
          <w:bCs/>
        </w:rPr>
        <w:t xml:space="preserve">Step 3 [week 5-6]:</w:t>
      </w:r>
      <w:r>
        <w:t xml:space="preserve"> </w:t>
      </w:r>
      <w:r>
        <w:t xml:space="preserve">Perform initial experiments to gauge copula impact on selected measures across different portfolios. This should help to develop the better understanding required for the future interpretation of the results and testing. We will assess Gaussian and Cauchy copulas, their transformations and weighted combinations.</w:t>
      </w:r>
    </w:p>
    <w:p>
      <w:pPr>
        <w:pStyle w:val="Compact"/>
        <w:numPr>
          <w:ilvl w:val="0"/>
          <w:numId w:val="1003"/>
        </w:numPr>
      </w:pPr>
      <w:r>
        <w:rPr>
          <w:b/>
          <w:bCs/>
        </w:rPr>
        <w:t xml:space="preserve">Step 4 [week 7-8]:</w:t>
      </w:r>
      <w:r>
        <w:t xml:space="preserve"> </w:t>
      </w:r>
      <w:r>
        <w:t xml:space="preserve">Build the optimization functionality that selects parameters for the copula by matching current measures for the list of selected portfolios.</w:t>
      </w:r>
      <w:r>
        <w:br/>
      </w:r>
    </w:p>
    <w:p>
      <w:pPr>
        <w:pStyle w:val="Compact"/>
        <w:numPr>
          <w:ilvl w:val="0"/>
          <w:numId w:val="1003"/>
        </w:numPr>
      </w:pPr>
      <w:r>
        <w:rPr>
          <w:b/>
          <w:bCs/>
        </w:rPr>
        <w:t xml:space="preserve">Step 5 [week 9-10]:</w:t>
      </w:r>
      <w:r>
        <w:t xml:space="preserve"> </w:t>
      </w:r>
      <w:r>
        <w:t xml:space="preserve">Design a testing exercise to ensure the calibrated copulas adhere to the specified conditions.</w:t>
      </w:r>
    </w:p>
    <w:p>
      <w:pPr>
        <w:pStyle w:val="Compact"/>
        <w:numPr>
          <w:ilvl w:val="0"/>
          <w:numId w:val="1003"/>
        </w:numPr>
      </w:pPr>
      <w:r>
        <w:rPr>
          <w:b/>
          <w:bCs/>
        </w:rPr>
        <w:t xml:space="preserve">Step 6 [week 11 +]:</w:t>
      </w:r>
      <w:r>
        <w:t xml:space="preserve"> </w:t>
      </w:r>
      <w:r>
        <w:t xml:space="preserve">Discuss the obtained results, summarize observations and developed software within the report.</w:t>
      </w:r>
    </w:p>
    <w:p>
      <w:pPr>
        <w:pStyle w:val="FirstParagraph"/>
      </w:pPr>
      <w:r>
        <w:t xml:space="preserve">There is a distinct possibility that certain project phases may overrun, particularly code development, testing, and the selection of the copula calibration algorithm. To mitigate this, it is aimed to complete the core work by August 2026, providing a buffer to accommodate potential delays.</w:t>
      </w:r>
    </w:p>
    <w:bookmarkEnd w:id="36"/>
    <w:bookmarkStart w:id="42" w:name="references"/>
    <w:p>
      <w:pPr>
        <w:pStyle w:val="Heading1"/>
      </w:pPr>
      <w:r>
        <w:t xml:space="preserve">References</w:t>
      </w:r>
    </w:p>
    <w:p>
      <w:pPr>
        <w:numPr>
          <w:ilvl w:val="0"/>
          <w:numId w:val="1004"/>
        </w:numPr>
      </w:pPr>
      <w:r>
        <w:t xml:space="preserve">Jorion P., 2006. Value as Risk: The New Benchmark for Managing Financial Risk. New York: The McGraw-Hill.</w:t>
      </w:r>
    </w:p>
    <w:p>
      <w:pPr>
        <w:numPr>
          <w:ilvl w:val="0"/>
          <w:numId w:val="1004"/>
        </w:numPr>
      </w:pPr>
      <w:r>
        <w:t xml:space="preserve">Cherubini U. et al, 2004. Copula methods in finance. England: Wiley finance.</w:t>
      </w:r>
    </w:p>
    <w:p>
      <w:pPr>
        <w:numPr>
          <w:ilvl w:val="0"/>
          <w:numId w:val="1004"/>
        </w:numPr>
      </w:pPr>
      <w:r>
        <w:t xml:space="preserve">Chollet F., 2021. Deep learning with Python. New York: Manning Publications Co. </w:t>
      </w:r>
    </w:p>
    <w:p>
      <w:pPr>
        <w:numPr>
          <w:ilvl w:val="0"/>
          <w:numId w:val="1004"/>
        </w:numPr>
      </w:pPr>
      <w:r>
        <w:t xml:space="preserve">Acerbi C., Szekely B., 2014. Back-testing expected shortfall. Risk, 27(11):76–81.</w:t>
      </w:r>
    </w:p>
    <w:p>
      <w:pPr>
        <w:numPr>
          <w:ilvl w:val="0"/>
          <w:numId w:val="1004"/>
        </w:numPr>
      </w:pPr>
      <w:r>
        <w:t xml:space="preserve">Cont R. et al, 2022. Tail-GAN: Nonparametric scenario generation for tail risk estimation.</w:t>
      </w:r>
      <w:r>
        <w:t xml:space="preserve"> </w:t>
      </w:r>
      <w:hyperlink r:id="rId37">
        <w:r>
          <w:rPr>
            <w:rStyle w:val="Hyperlink"/>
          </w:rPr>
          <w:t xml:space="preserve">(link)</w:t>
        </w:r>
      </w:hyperlink>
    </w:p>
    <w:p>
      <w:pPr>
        <w:numPr>
          <w:ilvl w:val="0"/>
          <w:numId w:val="1004"/>
        </w:numPr>
      </w:pPr>
      <w:r>
        <w:t xml:space="preserve">Oh D., Patton A., 2015. Modelling dependance in High dimensions with factor copulas.</w:t>
      </w:r>
      <w:r>
        <w:t xml:space="preserve"> </w:t>
      </w:r>
      <w:hyperlink r:id="rId38">
        <w:r>
          <w:rPr>
            <w:rStyle w:val="Hyperlink"/>
          </w:rPr>
          <w:t xml:space="preserve">(link)</w:t>
        </w:r>
      </w:hyperlink>
    </w:p>
    <w:p>
      <w:pPr>
        <w:numPr>
          <w:ilvl w:val="0"/>
          <w:numId w:val="1004"/>
        </w:numPr>
      </w:pPr>
      <w:r>
        <w:t xml:space="preserve">Buhler H., Horvath B., 2021. A data-driven market simulator for small data environments.</w:t>
      </w:r>
      <w:r>
        <w:t xml:space="preserve"> </w:t>
      </w:r>
      <w:hyperlink r:id="rId39">
        <w:r>
          <w:rPr>
            <w:rStyle w:val="Hyperlink"/>
          </w:rPr>
          <w:t xml:space="preserve">(link)</w:t>
        </w:r>
      </w:hyperlink>
    </w:p>
    <w:p>
      <w:pPr>
        <w:numPr>
          <w:ilvl w:val="0"/>
          <w:numId w:val="1004"/>
        </w:numPr>
      </w:pPr>
      <w:r>
        <w:t xml:space="preserve">Horvath B. et al, 2025. Generative Models in Finance: Market Generators, a Paradigm Shift in Financial Modeling.</w:t>
      </w:r>
      <w:hyperlink r:id="rId40">
        <w:r>
          <w:rPr>
            <w:rStyle w:val="Hyperlink"/>
          </w:rPr>
          <w:t xml:space="preserve">(link)</w:t>
        </w:r>
      </w:hyperlink>
    </w:p>
    <w:p>
      <w:pPr>
        <w:numPr>
          <w:ilvl w:val="0"/>
          <w:numId w:val="1004"/>
        </w:numPr>
      </w:pPr>
      <w:r>
        <w:t xml:space="preserve">Hofert M. and Pang Z., 2025. W-transforms: Uniformity-preserving transformations and induced dependence structures.</w:t>
      </w:r>
      <w:hyperlink r:id="rId41">
        <w:r>
          <w:rPr>
            <w:rStyle w:val="Hyperlink"/>
          </w:rPr>
          <w:t xml:space="preserve">(link)</w:t>
        </w:r>
      </w:hyperlink>
    </w:p>
    <w:p>
      <w:pPr>
        <w:numPr>
          <w:ilvl w:val="0"/>
          <w:numId w:val="1004"/>
        </w:numPr>
      </w:pPr>
      <w:r>
        <w:t xml:space="preserve">Geron A., 2019. Hands-On Machine Learning with Scikit-Learn, Keras, and TensorFlow: Concepts, Tools, and Techniques to Build Intelligent Systems. Sebastopol: O’Reilly Media. 2nd Edition.</w:t>
      </w:r>
    </w:p>
    <w:bookmarkEnd w:id="42"/>
    <w:bookmarkStart w:id="57" w:name="appendixes"/>
    <w:p>
      <w:pPr>
        <w:pStyle w:val="Heading1"/>
      </w:pPr>
      <w:r>
        <w:t xml:space="preserve">Appendixes</w:t>
      </w:r>
    </w:p>
    <w:bookmarkStart w:id="43" w:name="appendix-a-list-of-used-ai-tools"/>
    <w:p>
      <w:pPr>
        <w:pStyle w:val="Heading2"/>
      </w:pPr>
      <w:r>
        <w:t xml:space="preserve">Appendix A: List of used AI tools</w:t>
      </w:r>
    </w:p>
    <w:p>
      <w:pPr>
        <w:pStyle w:val="Compact"/>
        <w:numPr>
          <w:ilvl w:val="0"/>
          <w:numId w:val="1005"/>
        </w:numPr>
      </w:pPr>
      <w:r>
        <w:t xml:space="preserve">Gemini via Google Search;</w:t>
      </w:r>
    </w:p>
    <w:p>
      <w:pPr>
        <w:pStyle w:val="Compact"/>
        <w:numPr>
          <w:ilvl w:val="0"/>
          <w:numId w:val="1005"/>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43"/>
    <w:bookmarkStart w:id="56" w:name="appendix-b-copula-examples"/>
    <w:p>
      <w:pPr>
        <w:pStyle w:val="Heading2"/>
      </w:pPr>
      <w:r>
        <w:t xml:space="preserve">Appendix B: Copula examples</w:t>
      </w:r>
    </w:p>
    <w:p>
      <w:pPr>
        <w:pStyle w:val="FirstParagraph"/>
      </w:pPr>
      <w:r>
        <w:rPr>
          <w:b/>
          <w:bCs/>
        </w:rPr>
        <w:t xml:space="preserve">Gaussian copula.</w:t>
      </w:r>
    </w:p>
    <w:p>
      <w:pPr>
        <w:pStyle w:val="CaptionedFigure"/>
      </w:pPr>
      <w:r>
        <w:drawing>
          <wp:inline>
            <wp:extent cx="5911272" cy="4433454"/>
            <wp:effectExtent b="0" l="0" r="0" t="0"/>
            <wp:docPr descr="Figure A.1: Uniform scenarios for Gaussian_copula, numerical simulation." title="" id="45" name="Picture"/>
            <a:graphic>
              <a:graphicData uri="http://schemas.openxmlformats.org/drawingml/2006/picture">
                <pic:pic>
                  <pic:nvPicPr>
                    <pic:cNvPr descr="figures\Uniform_scenarios_Gaussian_copula_(numerical_simulation).png" id="46" name="Picture"/>
                    <pic:cNvPicPr>
                      <a:picLocks noChangeArrowheads="1" noChangeAspect="1"/>
                    </pic:cNvPicPr>
                  </pic:nvPicPr>
                  <pic:blipFill>
                    <a:blip r:embed="rId44"/>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A.1: Uniform scenarios for Gaussian_copula, numerical simulation.</w:t>
      </w:r>
    </w:p>
    <w:p>
      <w:pPr>
        <w:pStyle w:val="CaptionedFigure"/>
      </w:pPr>
      <w:r>
        <w:drawing>
          <wp:inline>
            <wp:extent cx="5911272" cy="4433454"/>
            <wp:effectExtent b="0" l="0" r="0" t="0"/>
            <wp:docPr descr="Figure A.2: Contour plot for Gaussian copula, numerical simulation." title="" id="48" name="Picture"/>
            <a:graphic>
              <a:graphicData uri="http://schemas.openxmlformats.org/drawingml/2006/picture">
                <pic:pic>
                  <pic:nvPicPr>
                    <pic:cNvPr descr="figures\Contour_plot_Gaussian_copula_(numerical_simulation).png" id="49" name="Picture"/>
                    <pic:cNvPicPr>
                      <a:picLocks noChangeArrowheads="1" noChangeAspect="1"/>
                    </pic:cNvPicPr>
                  </pic:nvPicPr>
                  <pic:blipFill>
                    <a:blip r:embed="rId47"/>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A.2: Contour plot for Gaussian copula, numerical simulation.</w:t>
      </w:r>
    </w:p>
    <w:p>
      <w:r>
        <w:pict>
          <v:rect style="width:0;height:1.5pt" o:hralign="center" o:hrstd="t" o:hr="t"/>
        </w:pict>
      </w:r>
    </w:p>
    <w:p>
      <w:pPr>
        <w:pStyle w:val="FirstParagraph"/>
      </w:pPr>
      <w:r>
        <w:rPr>
          <w:b/>
          <w:bCs/>
        </w:rPr>
        <w:t xml:space="preserve">Cauchy copula.</w:t>
      </w:r>
    </w:p>
    <w:p>
      <w:pPr>
        <w:pStyle w:val="CaptionedFigure"/>
      </w:pPr>
      <w:r>
        <w:drawing>
          <wp:inline>
            <wp:extent cx="5911272" cy="4433454"/>
            <wp:effectExtent b="0" l="0" r="0" t="0"/>
            <wp:docPr descr="Figure A.3: Uniform scenarios for Cauchy copula, numerical simulation." title="" id="51" name="Picture"/>
            <a:graphic>
              <a:graphicData uri="http://schemas.openxmlformats.org/drawingml/2006/picture">
                <pic:pic>
                  <pic:nvPicPr>
                    <pic:cNvPr descr="figures\Uniform_scenarios_Cauchy_copula_(numerical_simulation).png" id="52" name="Picture"/>
                    <pic:cNvPicPr>
                      <a:picLocks noChangeArrowheads="1" noChangeAspect="1"/>
                    </pic:cNvPicPr>
                  </pic:nvPicPr>
                  <pic:blipFill>
                    <a:blip r:embed="rId50"/>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A.3: Uniform scenarios for Cauchy copula, numerical simulation.</w:t>
      </w:r>
    </w:p>
    <w:p>
      <w:pPr>
        <w:pStyle w:val="CaptionedFigure"/>
      </w:pPr>
      <w:r>
        <w:drawing>
          <wp:inline>
            <wp:extent cx="5911272" cy="4433454"/>
            <wp:effectExtent b="0" l="0" r="0" t="0"/>
            <wp:docPr descr="Figure A.4: Contour plot for Cauchy copula, numerical simulation." title="" id="54" name="Picture"/>
            <a:graphic>
              <a:graphicData uri="http://schemas.openxmlformats.org/drawingml/2006/picture">
                <pic:pic>
                  <pic:nvPicPr>
                    <pic:cNvPr descr="figures\Contour_plot_Cauchy_copula_(numerical_simulation).png" id="55" name="Picture"/>
                    <pic:cNvPicPr>
                      <a:picLocks noChangeArrowheads="1" noChangeAspect="1"/>
                    </pic:cNvPicPr>
                  </pic:nvPicPr>
                  <pic:blipFill>
                    <a:blip r:embed="rId53"/>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A.4: Contour plot for Cauchy copula, numerical simulation.</w:t>
      </w:r>
    </w:p>
    <w:bookmarkEnd w:id="56"/>
    <w:bookmarkEnd w:id="57"/>
    <w:sectPr w:rsidR="00EE35AF">
      <w:footerReference r:id="rId8"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26714"/>
      <w:docPartObj>
        <w:docPartGallery w:val="Page Numbers (Bottom of Page)"/>
        <w:docPartUnique/>
      </w:docPartObj>
    </w:sdtPr>
    <w:sdtContent>
      <w:p w14:paraId="3380E526" w14:textId="2597F9D0" w:rsidR="00567562" w:rsidRDefault="00567562">
        <w:pPr>
          <w:pStyle w:val="Footer"/>
          <w:jc w:val="right"/>
        </w:pPr>
        <w:r>
          <w:fldChar w:fldCharType="begin"/>
        </w:r>
        <w:r>
          <w:instrText>PAGE   \* MERGEFORMAT</w:instrText>
        </w:r>
        <w:r>
          <w:fldChar w:fldCharType="separate"/>
        </w:r>
        <w:r>
          <w:rPr>
            <w:lang w:val="en-GB"/>
          </w:rPr>
          <w:t>2</w:t>
        </w:r>
        <w:r>
          <w:fldChar w:fldCharType="end"/>
        </w:r>
      </w:p>
    </w:sdtContent>
  </w:sdt>
  <w:p w14:paraId="0B6B6368" w14:textId="77777777" w:rsidR="00567562" w:rsidRDefault="0056756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64666B5"/>
    <w:multiLevelType w:val="hybridMultilevel"/>
    <w:tmpl w:val="6DF6F820"/>
    <w:lvl w:ilvl="0" w:tplc="849CEE18">
      <w:start w:val="1"/>
      <w:numFmt w:val="decimal"/>
      <w:pStyle w:val="Heading1"/>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77596047"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2DC322"/>
    <w:rsid w:val="00105BCE"/>
    <w:rsid w:val="001411FC"/>
    <w:rsid w:val="001847CA"/>
    <w:rsid w:val="00250697"/>
    <w:rsid w:val="00305EFF"/>
    <w:rsid w:val="004E53F9"/>
    <w:rsid w:val="004F6E94"/>
    <w:rsid w:val="00567562"/>
    <w:rsid w:val="00613D1E"/>
    <w:rsid w:val="006D61CA"/>
    <w:rsid w:val="00EE35AF"/>
    <w:rsid w:val="09082604"/>
    <w:rsid w:val="1C0DBFC9"/>
    <w:rsid w:val="1E3AEAFB"/>
    <w:rsid w:val="3E2B0E2B"/>
    <w:rsid w:val="4914AB38"/>
    <w:rsid w:val="4C2DC322"/>
    <w:rsid w:val="507D93C3"/>
    <w:rsid w:val="52C2CE24"/>
    <w:rsid w:val="795AD4A2"/>
    <w:rsid w:val="7A73B03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4914AB38"/>
    <w:pPr>
      <w:spacing w:after="180" w:before="180"/>
      <w:jc w:val="both"/>
    </w:pPr>
    <w:rPr>
      <w:rFonts w:ascii="Times New Roman" w:cs="Times New Roman" w:eastAsia="Times New Roman" w:hAnsi="Times New Roman"/>
      <w:color w:themeColor="text1" w:val="000000"/>
    </w:rPr>
  </w:style>
  <w:style w:styleId="Heading1" w:type="paragraph">
    <w:name w:val="heading 1"/>
    <w:basedOn w:val="Normal"/>
    <w:next w:val="Normal"/>
    <w:link w:val="Heading1Char"/>
    <w:qFormat/>
    <w:rsid w:val="00EE35AF"/>
    <w:pPr>
      <w:keepNext/>
      <w:numPr>
        <w:numId w:val="1"/>
      </w:numPr>
      <w:spacing w:after="160" w:before="480" w:line="288" w:lineRule="auto"/>
      <w:outlineLvl w:val="0"/>
    </w:pPr>
    <w:rPr>
      <w:color w:themeColor="accent1" w:themeShade="BF" w:val="0F4761"/>
      <w:sz w:val="40"/>
      <w:szCs w:val="40"/>
    </w:rPr>
  </w:style>
  <w:style w:styleId="Heading2" w:type="paragraph">
    <w:name w:val="heading 2"/>
    <w:basedOn w:val="Normal"/>
    <w:next w:val="Normal"/>
    <w:link w:val="Heading2Char"/>
    <w:uiPriority w:val="9"/>
    <w:unhideWhenUsed/>
    <w:qFormat/>
    <w:rsid w:val="4914AB38"/>
    <w:pPr>
      <w:keepNext/>
      <w:keepLines/>
      <w:spacing w:after="80" w:before="160"/>
      <w:outlineLvl w:val="1"/>
    </w:pPr>
    <w:rPr>
      <w:color w:themeColor="accent1" w:themeShade="BF" w:val="0F4761"/>
      <w:sz w:val="32"/>
      <w:szCs w:val="32"/>
    </w:rPr>
  </w:style>
  <w:style w:styleId="Heading3" w:type="paragraph">
    <w:name w:val="heading 3"/>
    <w:basedOn w:val="Normal"/>
    <w:next w:val="Normal"/>
    <w:uiPriority w:val="9"/>
    <w:unhideWhenUsed/>
    <w:qFormat/>
    <w:rsid w:val="4914AB38"/>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uiPriority w:val="9"/>
    <w:unhideWhenUsed/>
    <w:qFormat/>
    <w:rsid w:val="4914AB38"/>
    <w:pPr>
      <w:keepNext/>
      <w:keepLines/>
      <w:spacing w:after="40" w:before="80"/>
      <w:outlineLvl w:val="3"/>
    </w:pPr>
    <w:rPr>
      <w:rFonts w:cstheme="majorBidi" w:eastAsiaTheme="majorEastAsia"/>
      <w:i/>
      <w:iCs/>
      <w:color w:themeColor="accent1" w:themeShade="BF" w:val="0F476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4914AB38"/>
    <w:pPr>
      <w:spacing w:after="0"/>
    </w:pPr>
    <w:rPr>
      <w:rFonts w:ascii="Times New Roman" w:cs="Times New Roman" w:eastAsia="Times New Roman" w:hAnsi="Times New Roman"/>
    </w:rPr>
  </w:style>
  <w:style w:customStyle="1" w:styleId="Heading1Char" w:type="character">
    <w:name w:val="Heading 1 Char"/>
    <w:basedOn w:val="DefaultParagraphFont"/>
    <w:link w:val="Heading1"/>
    <w:rsid w:val="00EE35AF"/>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rsid w:val="4914AB38"/>
    <w:rPr>
      <w:rFonts w:ascii="Times New Roman" w:cs="Times New Roman" w:eastAsia="Times New Roman" w:hAnsi="Times New Roman"/>
      <w:b w:val="0"/>
      <w:bCs w:val="0"/>
      <w:i w:val="0"/>
      <w:iCs w:val="0"/>
      <w:strike w:val="0"/>
      <w:dstrike w:val="0"/>
      <w:noProof w:val="0"/>
      <w:color w:themeColor="accent1" w:themeShade="BF" w:val="0F4761"/>
      <w:sz w:val="32"/>
      <w:szCs w:val="32"/>
      <w:u w:val="none"/>
      <w:lang w:val="en-US"/>
    </w:rPr>
  </w:style>
  <w:style w:styleId="Title" w:type="paragraph">
    <w:name w:val="Title"/>
    <w:basedOn w:val="Normal"/>
    <w:next w:val="Normal"/>
    <w:uiPriority w:val="10"/>
    <w:qFormat/>
    <w:rsid w:val="00105BCE"/>
    <w:pPr>
      <w:spacing w:after="360" w:before="360" w:line="278" w:lineRule="auto"/>
      <w:contextualSpacing/>
      <w:jc w:val="center"/>
    </w:pPr>
    <w:rPr>
      <w:sz w:val="56"/>
      <w:szCs w:val="56"/>
    </w:rPr>
  </w:style>
  <w:style w:styleId="Subtitle" w:type="paragraph">
    <w:name w:val="Subtitle"/>
    <w:basedOn w:val="Normal"/>
    <w:next w:val="Normal"/>
    <w:uiPriority w:val="11"/>
    <w:qFormat/>
    <w:rsid w:val="001847CA"/>
    <w:pPr>
      <w:spacing w:after="360" w:before="360" w:line="278" w:lineRule="auto"/>
      <w:jc w:val="right"/>
    </w:pPr>
    <w:rPr>
      <w:rFonts w:cstheme="majorBidi" w:eastAsiaTheme="majorEastAsia"/>
      <w:color w:themeColor="text1" w:themeTint="A6" w:val="595959"/>
      <w:sz w:val="28"/>
      <w:szCs w:val="28"/>
    </w:rPr>
  </w:style>
  <w:style w:styleId="Emphasis" w:type="character">
    <w:name w:val="Emphasis"/>
    <w:basedOn w:val="DefaultParagraphFont"/>
    <w:uiPriority w:val="20"/>
    <w:qFormat/>
    <w:rsid w:val="4914AB38"/>
    <w:rPr>
      <w:i/>
      <w:iCs/>
    </w:rPr>
  </w:style>
  <w:style w:styleId="SubtleEmphasis" w:type="character">
    <w:name w:val="Subtle Emphasis"/>
    <w:basedOn w:val="DefaultParagraphFont"/>
    <w:uiPriority w:val="19"/>
    <w:qFormat/>
    <w:rsid w:val="4914AB38"/>
    <w:rPr>
      <w:i/>
      <w:iCs/>
      <w:color w:themeColor="text1" w:themeTint="BF" w:val="404040"/>
    </w:rPr>
  </w:style>
  <w:style w:styleId="Strong" w:type="character">
    <w:name w:val="Strong"/>
    <w:basedOn w:val="DefaultParagraphFont"/>
    <w:uiPriority w:val="22"/>
    <w:qFormat/>
    <w:rsid w:val="4914AB38"/>
    <w:rPr>
      <w:b/>
      <w:bCs/>
    </w:rPr>
  </w:style>
  <w:style w:styleId="Quote" w:type="paragraph">
    <w:name w:val="Quote"/>
    <w:basedOn w:val="Normal"/>
    <w:next w:val="Normal"/>
    <w:uiPriority w:val="29"/>
    <w:qFormat/>
    <w:rsid w:val="4914AB38"/>
    <w:pPr>
      <w:spacing w:before="160"/>
      <w:jc w:val="center"/>
    </w:pPr>
    <w:rPr>
      <w:i/>
      <w:iCs/>
      <w:color w:themeColor="text1" w:themeTint="BF" w:val="404040"/>
    </w:rPr>
  </w:style>
  <w:style w:styleId="SubtleReference" w:type="character">
    <w:name w:val="Subtle Reference"/>
    <w:basedOn w:val="DefaultParagraphFont"/>
    <w:uiPriority w:val="31"/>
    <w:qFormat/>
    <w:rsid w:val="4914AB38"/>
    <w:rPr>
      <w:smallCaps/>
      <w:color w:val="5A5A5A"/>
    </w:rPr>
  </w:style>
  <w:style w:styleId="IntenseQuote" w:type="paragraph">
    <w:name w:val="Intense Quote"/>
    <w:basedOn w:val="Normal"/>
    <w:next w:val="Normal"/>
    <w:uiPriority w:val="30"/>
    <w:qFormat/>
    <w:rsid w:val="4914AB38"/>
    <w:pPr>
      <w:spacing w:after="360" w:before="360"/>
      <w:ind w:left="864" w:right="864"/>
      <w:jc w:val="center"/>
    </w:pPr>
    <w:rPr>
      <w:i/>
      <w:iCs/>
      <w:color w:themeColor="accent1" w:themeShade="BF" w:val="0F4761"/>
    </w:rPr>
  </w:style>
  <w:style w:styleId="ListParagraph" w:type="paragraph">
    <w:name w:val="List Paragraph"/>
    <w:basedOn w:val="Normal"/>
    <w:uiPriority w:val="34"/>
    <w:qFormat/>
    <w:rsid w:val="4914AB38"/>
    <w:pPr>
      <w:ind w:left="720"/>
      <w:contextualSpacing/>
    </w:pPr>
  </w:style>
  <w:style w:styleId="Header" w:type="paragraph">
    <w:name w:val="header"/>
    <w:basedOn w:val="Normal"/>
    <w:link w:val="HeaderChar"/>
    <w:uiPriority w:val="99"/>
    <w:unhideWhenUsed/>
    <w:rsid w:val="00567562"/>
    <w:pPr>
      <w:tabs>
        <w:tab w:pos="4513" w:val="center"/>
        <w:tab w:pos="9026" w:val="right"/>
      </w:tabs>
      <w:spacing w:after="0" w:before="0" w:line="240" w:lineRule="auto"/>
    </w:pPr>
  </w:style>
  <w:style w:customStyle="1" w:styleId="HeaderChar" w:type="character">
    <w:name w:val="Header Char"/>
    <w:basedOn w:val="DefaultParagraphFont"/>
    <w:link w:val="Header"/>
    <w:uiPriority w:val="99"/>
    <w:rsid w:val="00567562"/>
    <w:rPr>
      <w:rFonts w:ascii="Times New Roman" w:cs="Times New Roman" w:eastAsia="Times New Roman" w:hAnsi="Times New Roman"/>
      <w:color w:themeColor="text1" w:val="000000"/>
    </w:rPr>
  </w:style>
  <w:style w:styleId="Footer" w:type="paragraph">
    <w:name w:val="footer"/>
    <w:basedOn w:val="Normal"/>
    <w:link w:val="FooterChar"/>
    <w:uiPriority w:val="99"/>
    <w:unhideWhenUsed/>
    <w:rsid w:val="00567562"/>
    <w:pPr>
      <w:tabs>
        <w:tab w:pos="4513" w:val="center"/>
        <w:tab w:pos="9026" w:val="right"/>
      </w:tabs>
      <w:spacing w:after="0" w:before="0" w:line="240" w:lineRule="auto"/>
    </w:pPr>
  </w:style>
  <w:style w:customStyle="1" w:styleId="FooterChar" w:type="character">
    <w:name w:val="Footer Char"/>
    <w:basedOn w:val="DefaultParagraphFont"/>
    <w:link w:val="Footer"/>
    <w:uiPriority w:val="99"/>
    <w:rsid w:val="00567562"/>
    <w:rPr>
      <w:rFonts w:ascii="Times New Roman" w:cs="Times New Roman" w:eastAsia="Times New Roman" w:hAnsi="Times New Roman"/>
      <w:color w:themeColor="text1" w:val="000000"/>
    </w:rPr>
  </w:style>
  <w:style w:styleId="TOCHeading" w:type="paragraph">
    <w:name w:val="TOC Heading"/>
    <w:basedOn w:val="Heading1"/>
    <w:next w:val="Normal"/>
    <w:uiPriority w:val="39"/>
    <w:unhideWhenUsed/>
    <w:qFormat/>
    <w:rsid w:val="001411FC"/>
    <w:pPr>
      <w:keepLines/>
      <w:pageBreakBefore/>
      <w:numPr>
        <w:numId w:val="0"/>
      </w:numPr>
      <w:spacing w:after="240" w:before="240" w:line="240" w:lineRule="auto"/>
      <w:jc w:val="left"/>
      <w:outlineLvl w:val="9"/>
    </w:pPr>
    <w:rPr>
      <w:rFonts w:eastAsiaTheme="majorEastAsia"/>
      <w:sz w:val="32"/>
      <w:szCs w:val="32"/>
      <w:lang w:eastAsia="en-GB" w:val="en-GB"/>
    </w:rPr>
  </w:style>
  <w:style w:styleId="TOC2" w:type="paragraph">
    <w:name w:val="toc 2"/>
    <w:basedOn w:val="Normal"/>
    <w:next w:val="Normal"/>
    <w:autoRedefine/>
    <w:uiPriority w:val="39"/>
    <w:unhideWhenUsed/>
    <w:rsid w:val="004F6E94"/>
    <w:pPr>
      <w:spacing w:after="100"/>
      <w:ind w:left="240"/>
    </w:pPr>
  </w:style>
  <w:style w:styleId="TOC1" w:type="paragraph">
    <w:name w:val="toc 1"/>
    <w:basedOn w:val="Normal"/>
    <w:next w:val="Normal"/>
    <w:autoRedefine/>
    <w:uiPriority w:val="39"/>
    <w:unhideWhenUsed/>
    <w:rsid w:val="004F6E94"/>
    <w:pPr>
      <w:spacing w:after="100"/>
    </w:pPr>
  </w:style>
  <w:style w:styleId="Hyperlink" w:type="character">
    <w:name w:val="Hyperlink"/>
    <w:basedOn w:val="DefaultParagraphFont"/>
    <w:uiPriority w:val="99"/>
    <w:unhideWhenUsed/>
    <w:rsid w:val="004F6E94"/>
    <w:rPr>
      <w:color w:themeColor="hyperlink" w:val="467886"/>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50" Target="media/rId50.png" /><Relationship Type="http://schemas.openxmlformats.org/officeDocument/2006/relationships/image" Id="rId44" Target="media/rId44.png" /><Relationship Type="http://schemas.openxmlformats.org/officeDocument/2006/relationships/hyperlink" Id="rId39" Target="https://arxiv.org/abs/2006.14498" TargetMode="External" /><Relationship Type="http://schemas.openxmlformats.org/officeDocument/2006/relationships/hyperlink" Id="rId37" Target="https://arxiv.org/abs/2203.01664" TargetMode="External" /><Relationship Type="http://schemas.openxmlformats.org/officeDocument/2006/relationships/hyperlink" Id="rId41" Target="https://arxiv.org/pdf/2509.26280" TargetMode="External" /><Relationship Type="http://schemas.openxmlformats.org/officeDocument/2006/relationships/hyperlink" Id="rId40" Target="https://papers.ssrn.com/sol3/papers.cfm?abstract_id=5284313" TargetMode="External" /><Relationship Type="http://schemas.openxmlformats.org/officeDocument/2006/relationships/hyperlink" Id="rId38"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abs/2006.14498" TargetMode="External" /><Relationship Type="http://schemas.openxmlformats.org/officeDocument/2006/relationships/hyperlink" Id="rId37" Target="https://arxiv.org/abs/2203.01664" TargetMode="External" /><Relationship Type="http://schemas.openxmlformats.org/officeDocument/2006/relationships/hyperlink" Id="rId41" Target="https://arxiv.org/pdf/2509.26280" TargetMode="External" /><Relationship Type="http://schemas.openxmlformats.org/officeDocument/2006/relationships/hyperlink" Id="rId40" Target="https://papers.ssrn.com/sol3/papers.cfm?abstract_id=5284313" TargetMode="External" /><Relationship Type="http://schemas.openxmlformats.org/officeDocument/2006/relationships/hyperlink" Id="rId38"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Modelling High Dimensional Joint Dependency</dc:title>
  <dc:creator>Author: Sergii Arkhypov, Supervisor: Dr Alessandro Provetti</dc:creator>
  <cp:keywords/>
  <dcterms:created xsi:type="dcterms:W3CDTF">2026-07-18T08:21:14Z</dcterms:created>
  <dcterms:modified xsi:type="dcterms:W3CDTF">2026-07-18T08:21:14Z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deep‑neural‑network will be trained to learn the calibrated parameters directly from the data, and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vt:lpwstr>
  </property>
  <property fmtid="{D5CDD505-2E9C-101B-9397-08002B2CF9AE}" pid="3" name="date">
    <vt:lpwstr>30 September 2026. Word count: 2639</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