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Override PartName="/word/media/rId14.png" ContentType="image/png"/>
  <Override PartName="/word/media/rId3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XXX</w:t>
      </w:r>
    </w:p>
    <w:p>
      <w:pPr>
        <w:pStyle w:val="AbstractTitle"/>
      </w:pPr>
      <w:r>
        <w:t xml:space="preserve">Abstract</w:t>
      </w:r>
    </w:p>
    <w:p>
      <w:pPr>
        <w:pStyle w:val="Abstract"/>
      </w:pPr>
      <w:r>
        <w:t xml:space="preserve">xxx to populate 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This academic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w:t>
      </w:r>
    </w:p>
    <w:bookmarkEnd w:id="9"/>
    <w:bookmarkStart w:id="10" w:name="aims-and-objectives"/>
    <w:p>
      <w:pPr>
        <w:pStyle w:val="Heading1"/>
      </w:pPr>
      <w:r>
        <w:t xml:space="preserve">Aims and Objectives</w:t>
      </w:r>
    </w:p>
    <w:p>
      <w:pPr>
        <w:pStyle w:val="FirstParagraph"/>
      </w:pPr>
      <w:r>
        <w:t xml:space="preserve">The main aim of this work would be to develop an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illustrate and test the results project will also require to develop a software application designed for extracting and caching market data, with subsequent incorporation of calculations of portfolio Value-at-Risk (VaR) and/or Expected Shortfall (ES) measures. To achieve this, implement Monte Carlo simulations using various copulas within the application, in addition to providing support for pure the historical calculation methods.</w:t>
      </w:r>
    </w:p>
    <w:p>
      <w:pPr>
        <w:pStyle w:val="BodyText"/>
      </w:pPr>
      <w:r>
        <w:t xml:space="preserve">Upon completion of the initial software development, conduct an experimental analysis to evaluate the impact of copula assumptions on the selected VaR / ES measures across distinct portfolios. Following this, establish a calibration procedure aimed at fitting appropriate copulas to real-world market data. Lastly, devise a testing exercise to verify whether the calibrated copulas align with the prescribed conditions.</w:t>
      </w:r>
    </w:p>
    <w:bookmarkEnd w:id="10"/>
    <w:bookmarkStart w:id="20" w:name="X32b9430d5d15411fac62685483839fe9d87a9a8"/>
    <w:p>
      <w:pPr>
        <w:pStyle w:val="Heading1"/>
      </w:pPr>
      <w:r>
        <w:t xml:space="preserve">Description of the problem and relevant work</w:t>
      </w:r>
    </w:p>
    <w:bookmarkStart w:id="18" w:name="key-concepts"/>
    <w:p>
      <w:pPr>
        <w:pStyle w:val="Heading2"/>
      </w:pPr>
      <w:r>
        <w:t xml:space="preserve">Key concepts</w:t>
      </w:r>
    </w:p>
    <w:bookmarkStart w:id="11" w:name="X2df427def89a3ef237a42aa6bbd525f6362f6e2"/>
    <w:p>
      <w:pPr>
        <w:pStyle w:val="Heading3"/>
      </w:pPr>
      <w:r>
        <w:t xml:space="preserve">Value-at-Risk (VaR) and expected shortfall (ES)</w:t>
      </w:r>
    </w:p>
    <w:p>
      <w:pPr>
        <w:pStyle w:val="FirstParagraph"/>
      </w:pPr>
      <w:r>
        <w:t xml:space="preserve">Based on</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 about ES are available in</w:t>
      </w:r>
      <w:r>
        <w:t xml:space="preserve"> </w:t>
      </w:r>
      <w:hyperlink w:anchor="references">
        <w:r>
          <w:rPr>
            <w:rStyle w:val="Hyperlink"/>
          </w:rPr>
          <w:t xml:space="preserve">[4]</w:t>
        </w:r>
      </w:hyperlink>
      <w:r>
        <w:t xml:space="preserve">.</w:t>
      </w:r>
    </w:p>
    <w:p>
      <w:pPr>
        <w:pStyle w:val="BodyText"/>
      </w:pPr>
      <w:r>
        <w:t xml:space="preserve">There are several main contesting industry spread approaches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w:t>
      </w:r>
    </w:p>
    <w:p>
      <w:pPr>
        <w:pStyle w:val="Compact"/>
        <w:numPr>
          <w:ilvl w:val="0"/>
          <w:numId w:val="1001"/>
        </w:numPr>
      </w:pPr>
      <w:r>
        <w:t xml:space="preserve">and 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HVaR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behaviors in a structured way. Another related critical drawback is the high numerical error associated with HVaR, stemming from the finite and often sparse nature of historical data, especially in the tails. On the other hand, the relative strength of the method is its low model error, since it does not impose strong parametric assumptions but instead directly uses empirical distributions. This makes it robust in scenarios where the true data-generating process is unknown, though at the cost of precision in extreme quantiles.</w:t>
      </w:r>
    </w:p>
    <w:p>
      <w:pPr>
        <w:pStyle w:val="BodyText"/>
      </w:pPr>
      <w:r>
        <w:t xml:space="preserve">In contrast, Monte Carlo Value-at-Risk (MC VaR), whether based on parametric assumptions or Extreme Value Theory (EVT),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 However, this precision comes at the expense of higher model error, particularly when parametric assumptions are misspecified or when EVT extrapolations deviate from true tail behavior. While these methods provide greater control and extensibility in extreme risk modelling, their reliability hinges on the accuracy of the underlying assumptions, whether in the choice of distributions copula functions, or tail decay parameters.</w:t>
      </w:r>
    </w:p>
    <w:bookmarkEnd w:id="11"/>
    <w:bookmarkStart w:id="13" w:name="copulas."/>
    <w:p>
      <w:pPr>
        <w:pStyle w:val="Heading3"/>
      </w:pPr>
      <w:r>
        <w:t xml:space="preserve">Copulas.</w:t>
      </w:r>
    </w:p>
    <w:p>
      <w:pPr>
        <w:pStyle w:val="FirstParagraph"/>
      </w:pPr>
      <w:r>
        <w:t xml:space="preserve">In this section we briefly introduce the concept of copulas and provide additional references, followed by the impacts it could have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the copulas which will be significant for the current project:</w:t>
      </w:r>
    </w:p>
    <w:p>
      <w:pPr>
        <w:numPr>
          <w:ilvl w:val="0"/>
          <w:numId w:val="1002"/>
        </w:numPr>
      </w:pPr>
      <w:r>
        <w:t xml:space="preserve">A convex combination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oMath>
      <w:r>
        <w:t xml:space="preserve">.</w:t>
      </w:r>
    </w:p>
    <w:p>
      <w:pPr>
        <w:numPr>
          <w:ilvl w:val="0"/>
          <w:numId w:val="1002"/>
        </w:numPr>
      </w:pPr>
      <w:r>
        <w:t xml:space="preserve">Exists a set of functions (W-transforms) applied to copula and also returning copula but with modified properties. For additional details on these transformations and their properties please see</w:t>
      </w:r>
      <w:r>
        <w:t xml:space="preserve"> </w:t>
      </w:r>
      <w:hyperlink w:anchor="references">
        <w:r>
          <w:rPr>
            <w:rStyle w:val="Hyperlink"/>
          </w:rPr>
          <w:t xml:space="preserve">[9]</w:t>
        </w:r>
      </w:hyperlink>
      <w:r>
        <w:t xml:space="preserve">.</w:t>
      </w:r>
    </w:p>
    <w:bookmarkEnd w:id="13"/>
    <w:bookmarkStart w:id="17" w:name="copulas-in-value-at-risk"/>
    <w:p>
      <w:pPr>
        <w:pStyle w:val="Heading3"/>
      </w:pPr>
      <w:r>
        <w:t xml:space="preserve">Copulas in Value-at-Risk</w:t>
      </w:r>
    </w:p>
    <w:p>
      <w:pPr>
        <w:pStyle w:val="FirstParagraph"/>
      </w:pPr>
      <w:r>
        <w:t xml:space="preserve">The selection of a copula has a profound influence on the assessment of tail‑risk measures such as Value‑at‑Risk (VaR) /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oMath>
      </m:oMathPara>
    </w:p>
    <w:p>
      <w:pPr>
        <w:pStyle w:val="FirstParagraph"/>
      </w:pPr>
      <w:r>
        <w:t xml:space="preserve">By computing these tail‑dependence coefficients, one can directly compare how different copulas treat extreme co‑movements. The contrast is stark: while a Gaussian copula predicts virtually no joint tail events, for example Cauchy (Student-T with zero degrees of freedom) assigns a non‑negligible probability to simultaneous extreme losses. 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 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Figures below compare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w:t>
      </w:r>
    </w:p>
    <w:p>
      <w:pPr>
        <w:pStyle w:val="CaptionedFigure"/>
      </w:pPr>
      <w:r>
        <w:drawing>
          <wp:inline>
            <wp:extent cx="5334000" cy="2156297"/>
            <wp:effectExtent b="0" l="0" r="0" t="0"/>
            <wp:docPr descr="Figure 5: Tail dependence for different types of copulas and different number of random variables" title="" id="15" name="Picture"/>
            <a:graphic>
              <a:graphicData uri="http://schemas.openxmlformats.org/drawingml/2006/picture">
                <pic:pic>
                  <pic:nvPicPr>
                    <pic:cNvPr descr="figures\Tail_dependance.png" id="16" name="Picture"/>
                    <pic:cNvPicPr>
                      <a:picLocks noChangeArrowheads="1" noChangeAspect="1"/>
                    </pic:cNvPicPr>
                  </pic:nvPicPr>
                  <pic:blipFill>
                    <a:blip r:embed="rId14"/>
                    <a:stretch>
                      <a:fillRect/>
                    </a:stretch>
                  </pic:blipFill>
                  <pic:spPr bwMode="auto">
                    <a:xfrm>
                      <a:off x="0" y="0"/>
                      <a:ext cx="5334000" cy="2156297"/>
                    </a:xfrm>
                    <a:prstGeom prst="rect">
                      <a:avLst/>
                    </a:prstGeom>
                    <a:noFill/>
                    <a:ln w="9525">
                      <a:noFill/>
                      <a:headEnd/>
                      <a:tailEnd/>
                    </a:ln>
                  </pic:spPr>
                </pic:pic>
              </a:graphicData>
            </a:graphic>
          </wp:inline>
        </w:drawing>
      </w:r>
    </w:p>
    <w:p>
      <w:pPr>
        <w:pStyle w:val="ImageCaption"/>
      </w:pPr>
      <w:r>
        <w:t xml:space="preserve">Figure 5: Tail dependence for different types of copulas and different number of random variables</w:t>
      </w:r>
    </w:p>
    <w:p>
      <w:pPr>
        <w:pStyle w:val="BodyText"/>
      </w:pPr>
      <w:r>
        <w:t xml:space="preserve">The Cauchy copula (equivalently a Student‑t copula with zero degrees of freedom)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Apple vs. Microsoft - Apple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shared extreme driver. Think of a severe natural disaster that simultaneously spikes commodity prices or a sovereign default that forces both sovereign bond yields and the domestic currency to deteriorate together. In these cases the common shock creates a temporary, high‑intensity dependence that standard correlation estimates fail to capture.</w:t>
      </w:r>
    </w:p>
    <w:p>
      <w:pPr>
        <w:pStyle w:val="BodyText"/>
      </w:pPr>
      <w: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behaviors, provide a more realistic picture of potential extreme outcomes than approaches that rely solely on historic linear correlations.</w:t>
      </w:r>
    </w:p>
    <w:bookmarkEnd w:id="17"/>
    <w:bookmarkEnd w:id="18"/>
    <w:bookmarkStart w:id="19" w:name="literature-review"/>
    <w:p>
      <w:pPr>
        <w:pStyle w:val="Heading2"/>
      </w:pPr>
      <w:r>
        <w:t xml:space="preserve">Literature review</w:t>
      </w:r>
    </w:p>
    <w:p>
      <w:pPr>
        <w:pStyle w:val="FirstParagraph"/>
      </w:pPr>
      <w:r>
        <w:t xml:space="preserve">[TODO: present articles!!!]</w:t>
      </w:r>
    </w:p>
    <w:bookmarkEnd w:id="19"/>
    <w:bookmarkEnd w:id="20"/>
    <w:bookmarkStart w:id="21" w:name="methodology-and-methods"/>
    <w:p>
      <w:pPr>
        <w:pStyle w:val="Heading1"/>
      </w:pPr>
      <w:r>
        <w:t xml:space="preserve">Methodology and methods</w:t>
      </w:r>
    </w:p>
    <w:p>
      <w:pPr>
        <w:pStyle w:val="FirstParagraph"/>
      </w:pPr>
      <w:r>
        <w:t xml:space="preserve">This analysis prioritizes the generation of extreme market scenarios designed specifically for Market Risk and capital estimation purposes.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w:t>
      </w:r>
    </w:p>
    <w:p>
      <w:pPr>
        <w:pStyle w:val="BodyText"/>
      </w:pPr>
      <w:r>
        <w:t xml:space="preserve">A defining challenge in Market Risk is the need to evaluate the collective behavior of thousands of risk factors simultaneously, a requirement that far exceeds the scope of prior research, where simulations often focused on merely dozens of variables. This study bridges that gap by demonstrating scalability to hundreds or even thousands of risk factors, aligning with the real-world demands of large-scale risk aggregation.</w:t>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p>
      <w:pPr>
        <w:pStyle w:val="BodyText"/>
      </w:pPr>
      <w:r>
        <w:rPr>
          <w:i/>
          <w:iCs/>
        </w:rPr>
        <w:t xml:space="preserve">provide a diagram that illustrate your approach/data pipeline</w:t>
      </w:r>
      <w:r>
        <w:t xml:space="preserve"> </w:t>
      </w:r>
      <w:r>
        <w:rPr>
          <w:i/>
          <w:iCs/>
        </w:rPr>
        <w:t xml:space="preserve">for each objective you can provide methodology, methods and tools that you will use, and organise this part accordingly</w:t>
      </w:r>
      <w:r>
        <w:t xml:space="preserve"> </w:t>
      </w:r>
      <w:r>
        <w:rPr>
          <w:i/>
          <w:iCs/>
        </w:rPr>
        <w:t xml:space="preserve">difference between an evaluation with respect to how your software performs, versus a critical evaluation where you reflect on your aims and objectives</w:t>
      </w:r>
      <w:r>
        <w:t xml:space="preserve"> </w:t>
      </w:r>
      <w:r>
        <w:rPr>
          <w:i/>
          <w:iCs/>
        </w:rPr>
        <w:t xml:space="preserve">how do you plan to implement it? E.g. if you are using machine learning, you will require a model (explain the structure of the neural network)</w:t>
      </w:r>
    </w:p>
    <w:p>
      <w:pPr>
        <w:pStyle w:val="BodyText"/>
      </w:pPr>
      <w:r>
        <w:t xml:space="preserve">The software end-product</w:t>
      </w:r>
      <w:r>
        <w:t xml:space="preserve"> </w:t>
      </w:r>
      <w:r>
        <w:t xml:space="preserve">My aim with this software is a proof of concept rather than an end-user application.</w:t>
      </w:r>
    </w:p>
    <w:bookmarkEnd w:id="21"/>
    <w:bookmarkStart w:id="22" w:name="project-development-plan"/>
    <w:p>
      <w:pPr>
        <w:pStyle w:val="Heading1"/>
      </w:pPr>
      <w:r>
        <w:t xml:space="preserve">Project development plan</w:t>
      </w:r>
    </w:p>
    <w:p>
      <w:pPr>
        <w:pStyle w:val="FirstParagraph"/>
      </w:pPr>
      <w:r>
        <w:t xml:space="preserve">The work is expected to start in the begging of May 2026. Development and research phase is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functionality able to discover required market data and casche it from Yahoo API according the required population, length and granularity.</w:t>
      </w:r>
    </w:p>
    <w:p>
      <w:pPr>
        <w:pStyle w:val="Compact"/>
        <w:numPr>
          <w:ilvl w:val="0"/>
          <w:numId w:val="1003"/>
        </w:numPr>
      </w:pPr>
      <w:r>
        <w:rPr>
          <w:b/>
          <w:bCs/>
        </w:rPr>
        <w:t xml:space="preserve">Step 2 [week 3-4]:</w:t>
      </w:r>
      <w:r>
        <w:t xml:space="preserve"> </w:t>
      </w:r>
      <w:r>
        <w:t xml:space="preserve">Develop functionality able to calculate different Value-at-Risk metrics based on specified methodology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better understanding required for the future interpretation of the results and testing. Assessing Gaussian, Cauchy, their transformations and weighted combinations.</w:t>
      </w:r>
    </w:p>
    <w:p>
      <w:pPr>
        <w:pStyle w:val="Compact"/>
        <w:numPr>
          <w:ilvl w:val="0"/>
          <w:numId w:val="1003"/>
        </w:numPr>
      </w:pPr>
      <w:r>
        <w:rPr>
          <w:b/>
          <w:bCs/>
        </w:rPr>
        <w:t xml:space="preserve">Step 4 [week 7-8]:</w:t>
      </w:r>
      <w:r>
        <w:t xml:space="preserve"> </w:t>
      </w:r>
      <w:r>
        <w:t xml:space="preserve">Build optimization functionality select parameters for the copula matching current measures for the list of selected portfolios. Once the best matching parameters are available attempt on learning them from the observations directly with deep neral net (MLP).</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 Test whether MLP neral net was able to learn specific copula parameters directly from the data.</w:t>
      </w:r>
    </w:p>
    <w:p>
      <w:pPr>
        <w:pStyle w:val="Compact"/>
        <w:numPr>
          <w:ilvl w:val="0"/>
          <w:numId w:val="1003"/>
        </w:numPr>
      </w:pPr>
      <w:r>
        <w:rPr>
          <w:b/>
          <w:bCs/>
        </w:rPr>
        <w:t xml:space="preserve">Step 6 [week 11 +]:</w:t>
      </w:r>
      <w:r>
        <w:t xml:space="preserve"> </w:t>
      </w:r>
      <w:r>
        <w:t xml:space="preserve">Assess obtained results, summarize observations and developed software within the report.</w:t>
      </w:r>
    </w:p>
    <w:bookmarkEnd w:id="22"/>
    <w:bookmarkStart w:id="28"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23">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24">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25">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26">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27">
        <w:r>
          <w:rPr>
            <w:rStyle w:val="Hyperlink"/>
          </w:rPr>
          <w:t xml:space="preserve">(link)</w:t>
        </w:r>
      </w:hyperlink>
    </w:p>
    <w:bookmarkEnd w:id="28"/>
    <w:bookmarkStart w:id="43" w:name="appendixes"/>
    <w:p>
      <w:pPr>
        <w:pStyle w:val="Heading1"/>
      </w:pPr>
      <w:r>
        <w:t xml:space="preserve">Appendixes</w:t>
      </w:r>
    </w:p>
    <w:p>
      <w:pPr>
        <w:pStyle w:val="FirstParagraph"/>
      </w:pPr>
      <w:r>
        <w:t xml:space="preserve">See corresponding equation</w:t>
      </w:r>
      <w:r>
        <w:t xml:space="preserve"> </w:t>
      </w:r>
      <w:hyperlink w:anchor="eq1">
        <w:r>
          <w:rPr>
            <w:rStyle w:val="Hyperlink"/>
          </w:rPr>
          <w:t xml:space="preserve">(Eq.1)</w:t>
        </w:r>
      </w:hyperlink>
    </w:p>
    <w:bookmarkStart w:id="41" w:name="appendix-a-copula-examples"/>
    <w:p>
      <w:pPr>
        <w:pStyle w:val="Heading2"/>
      </w:pPr>
      <w:r>
        <w:t xml:space="preserve">Appendix A: Copula examples</w:t>
      </w:r>
    </w:p>
    <w:p>
      <w:pPr>
        <w:pStyle w:val="FirstParagraph"/>
      </w:pPr>
      <w:r>
        <w:t xml:space="preserve">Gaussian copula.</w:t>
      </w:r>
    </w:p>
    <w:p>
      <w:pPr>
        <w:pStyle w:val="CaptionedFigure"/>
      </w:pPr>
      <w:r>
        <w:drawing>
          <wp:inline>
            <wp:extent cx="5334000" cy="4000499"/>
            <wp:effectExtent b="0" l="0" r="0" t="0"/>
            <wp:docPr descr="Figure 1: Uniform scenarios Gaussian_copula, numerical simulation" title="" id="30" name="Picture"/>
            <a:graphic>
              <a:graphicData uri="http://schemas.openxmlformats.org/drawingml/2006/picture">
                <pic:pic>
                  <pic:nvPicPr>
                    <pic:cNvPr descr="figures\Uniform_scenarios_Gaussian_copula_(numerical_simulation).png" id="31" name="Picture"/>
                    <pic:cNvPicPr>
                      <a:picLocks noChangeArrowheads="1" noChangeAspect="1"/>
                    </pic:cNvPicPr>
                  </pic:nvPicPr>
                  <pic:blipFill>
                    <a:blip r:embed="rId2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33" name="Picture"/>
            <a:graphic>
              <a:graphicData uri="http://schemas.openxmlformats.org/drawingml/2006/picture">
                <pic:pic>
                  <pic:nvPicPr>
                    <pic:cNvPr descr="figures\Contour_plot_Gaussian_copula_(numerical_simulation).png" id="34" name="Picture"/>
                    <pic:cNvPicPr>
                      <a:picLocks noChangeArrowheads="1" noChangeAspect="1"/>
                    </pic:cNvPicPr>
                  </pic:nvPicPr>
                  <pic:blipFill>
                    <a:blip r:embed="rId3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334000" cy="4000499"/>
            <wp:effectExtent b="0" l="0" r="0" t="0"/>
            <wp:docPr descr="Figure 3: Uniform scenarios Cauchy copula, numerical simulation" title="" id="36" name="Picture"/>
            <a:graphic>
              <a:graphicData uri="http://schemas.openxmlformats.org/drawingml/2006/picture">
                <pic:pic>
                  <pic:nvPicPr>
                    <pic:cNvPr descr="figures\Uniform_scenarios_Cauchy_copula_(numerical_simulation).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39" name="Picture"/>
            <a:graphic>
              <a:graphicData uri="http://schemas.openxmlformats.org/drawingml/2006/picture">
                <pic:pic>
                  <pic:nvPicPr>
                    <pic:cNvPr descr="figures\Contour_plot_Cauchy_copula_(numerical_simulation).png" id="40" name="Picture"/>
                    <pic:cNvPicPr>
                      <a:picLocks noChangeArrowheads="1" noChangeAspect="1"/>
                    </pic:cNvPicPr>
                  </pic:nvPicPr>
                  <pic:blipFill>
                    <a:blip r:embed="rId38"/>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41"/>
    <w:bookmarkStart w:id="42" w:name="appendix-b-list-of-used-ai-tools"/>
    <w:p>
      <w:pPr>
        <w:pStyle w:val="Heading2"/>
      </w:pPr>
      <w:r>
        <w:t xml:space="preserve">Appendix B: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hyperlink" Id="rId25" Target="https://arxiv.org/abs/2006.14498" TargetMode="External" /><Relationship Type="http://schemas.openxmlformats.org/officeDocument/2006/relationships/hyperlink" Id="rId23" Target="https://arxiv.org/abs/2203.01664" TargetMode="External" /><Relationship Type="http://schemas.openxmlformats.org/officeDocument/2006/relationships/hyperlink" Id="rId27" Target="https://arxiv.org/pdf/2509.26280" TargetMode="External" /><Relationship Type="http://schemas.openxmlformats.org/officeDocument/2006/relationships/hyperlink" Id="rId26" Target="https://papers.ssrn.com/sol3/papers.cfm?abstract_id=5284313" TargetMode="External" /><Relationship Type="http://schemas.openxmlformats.org/officeDocument/2006/relationships/hyperlink" Id="rId24"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25" Target="https://arxiv.org/abs/2006.14498" TargetMode="External" /><Relationship Type="http://schemas.openxmlformats.org/officeDocument/2006/relationships/hyperlink" Id="rId23" Target="https://arxiv.org/abs/2203.01664" TargetMode="External" /><Relationship Type="http://schemas.openxmlformats.org/officeDocument/2006/relationships/hyperlink" Id="rId27" Target="https://arxiv.org/pdf/2509.26280" TargetMode="External" /><Relationship Type="http://schemas.openxmlformats.org/officeDocument/2006/relationships/hyperlink" Id="rId26" Target="https://papers.ssrn.com/sol3/papers.cfm?abstract_id=5284313" TargetMode="External" /><Relationship Type="http://schemas.openxmlformats.org/officeDocument/2006/relationships/hyperlink" Id="rId24"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2026-04-21T17:38:57Z</dcterms:created>
  <dcterms:modified xsi:type="dcterms:W3CDTF">2026-04-21T17:38:57Z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xxx to populate xxx</vt:lpwstr>
  </property>
  <property fmtid="{D5CDD505-2E9C-101B-9397-08002B2CF9AE}" pid="3" name="date">
    <vt:lpwstr>30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