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1bqifw4fi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Descripción de Métricas Financieras y de Valoración de IBM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presenta un desglose de las métricas financieras y de valoración proporcionadas.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t9gwitvle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Métricas de Valoración y Mercado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métricas ayudan a determinar el valor de mercado de la empresa y cómo se compara con sus beneficios o activos.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4.178511232422"/>
        <w:gridCol w:w="1893.531231918694"/>
        <w:gridCol w:w="4387.802067872507"/>
        <w:tblGridChange w:id="0">
          <w:tblGrid>
            <w:gridCol w:w="2744.178511232422"/>
            <w:gridCol w:w="1893.531231918694"/>
            <w:gridCol w:w="4387.8020678725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Valor para IBM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MarketCapitalization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$258,235,744,000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valor total de mercado de las acciones en circulación de la empresa.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PERatio (Ratio Precio-Beneficio)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44.61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Indica cuánto están dispuestos a pagar los inversores por cada dólar de beneficio de la empresa (basado en el beneficio actual). Es lo mismo que el </w:t>
            </w:r>
            <w:r w:rsidDel="00000000" w:rsidR="00000000" w:rsidRPr="00000000">
              <w:rPr>
                <w:b w:val="1"/>
                <w:rtl w:val="0"/>
              </w:rPr>
              <w:t xml:space="preserve">TrailingPE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PEGRatio (Ratio PEG)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1.735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Ratio Precio-Beneficio ajustado por la tasa de crecimiento de los beneficios. Se utiliza para determinar si una acción está infravalorada o sobrevalorada.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ForwardPE (P/E Futuro)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Ratio P/E calculado utilizando las estimaciones de beneficios futuros (beneficio neto esperado).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PriceToSalesRatioTTM (P/S)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Compara el precio de la acción en relación con las ventas por acción. Indica cuánto paga el mercado por cada dólar de ingresos.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PriceToBookRatio (P/B)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Compara el valor de mercado de la empresa con su valor contable (patrimonio neto).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EVToRevenue (EV/Ingresos)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4.987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Ratio que compara el Valor Empresarial (</w:t>
            </w:r>
            <w:r w:rsidDel="00000000" w:rsidR="00000000" w:rsidRPr="00000000">
              <w:rPr>
                <w:i w:val="1"/>
                <w:rtl w:val="0"/>
              </w:rPr>
              <w:t xml:space="preserve">Enterprise Value</w:t>
            </w:r>
            <w:r w:rsidDel="00000000" w:rsidR="00000000" w:rsidRPr="00000000">
              <w:rPr>
                <w:rtl w:val="0"/>
              </w:rPr>
              <w:t xml:space="preserve">) con los Ingresos totales, útil para comparar empresas con diferentes estructuras de capital.</w:t>
            </w:r>
          </w:p>
        </w:tc>
      </w:tr>
      <w:tr>
        <w:trPr>
          <w:cantSplit w:val="0"/>
          <w:trHeight w:val="1388.70117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EVToEBITDA (EV/EBITDA)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24.76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Ratio que compara el Valor Empresarial con el EBITDA. Una métrica de valoración común que ignora los efectos de la depreciación y la amortización.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tmcolm8vw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snozt892h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Métricas de Rentabilidad y Eficiencia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métricas indican qué tan bien está operando la empresa y gestionando sus recursos.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2.944755905512"/>
        <w:gridCol w:w="1781.0343307086614"/>
        <w:gridCol w:w="4221.53272440945"/>
        <w:tblGridChange w:id="0">
          <w:tblGrid>
            <w:gridCol w:w="3022.944755905512"/>
            <w:gridCol w:w="1781.0343307086614"/>
            <w:gridCol w:w="4221.532724409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Valor para IBM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$14,183,000,000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Ganancias antes de Intereses, Impuestos, Depreciación y Amortización. Una medida de la rentabilidad operativa.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ProfitMargin (Margen de Beneficio)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9.11%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El porcentaje de los ingresos que se convierte en beneficio neto (Beneficio Neto / Ingresos).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OperatingMarginTTM (Margen Operativo)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18.3%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Indica la eficiencia con la que la empresa gestiona sus operaciones para generar ganancias (Beneficio Operativo / Ingresos).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ReturnOnAssetsTTM (ROA)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Mide la rentabilidad en relación con los activos totales. Indica qué tan bien la empresa utiliza sus activos para generar ganancias.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ReturnOnEquityTTM (ROE)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Mide la rentabilidad en relación con el patrimonio neto de los accionistas.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GrossProfitTTM (Beneficio Bruto)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$36,868,002,000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beneficio que queda después de restar el coste de los bienes vendidos (COGS) de los ingresos.</w:t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j9pjksatha5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pt56r8gz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Métricas por Acción y Dividendos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métricas son clave para los inversores individuales.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994.0631181102367"/>
        <w:gridCol w:w="1044.552566929134"/>
        <w:gridCol w:w="4986.896125984253"/>
        <w:tblGridChange w:id="0">
          <w:tblGrid>
            <w:gridCol w:w="2994.0631181102367"/>
            <w:gridCol w:w="1044.552566929134"/>
            <w:gridCol w:w="4986.896125984253"/>
          </w:tblGrid>
        </w:tblGridChange>
      </w:tblGrid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Valor para IBM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 (Beneficio por Acción)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$6.19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La porción de las ganancias de la empresa asignada a cada acción ordinaria. Un indicador fundamental de rentabilidad. Es lo mismo que el </w:t>
            </w:r>
            <w:r w:rsidDel="00000000" w:rsidR="00000000" w:rsidRPr="00000000">
              <w:rPr>
                <w:b w:val="1"/>
                <w:rtl w:val="0"/>
              </w:rPr>
              <w:t xml:space="preserve">DilutedEPSTTM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RevenuePerShareTTM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$69.07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La cantidad de ingresos generados por la empresa por cada acción en circulación.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BookValue (Valor Contable)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$29.53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valor de los activos que quedarían para los accionistas si la empresa se liquidara.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DividendPerShare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$6.69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La cantidad total de dividendos pagada por la empresa por cada acción ordinaria.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DividendYield (Rendimiento del Dividendo)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Mide el retorno de la inversión de un dividendo de una acción (Dividendo Anual / Precio de la Acción).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w1vdzg6p3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r6wa6zyps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Métricas de Crecimiento y Movimiento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métricas muestran la tasa de crecimiento y la sensibilidad de las acciones.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3.9652283464566"/>
        <w:gridCol w:w="1030.111748031496"/>
        <w:gridCol w:w="4611.43483464567"/>
        <w:tblGridChange w:id="0">
          <w:tblGrid>
            <w:gridCol w:w="3383.9652283464566"/>
            <w:gridCol w:w="1030.111748031496"/>
            <w:gridCol w:w="4611.4348346456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Valor para IBM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QuarterlyEarningsGrowthYOY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 crecimiento porcentual de las ganancias netas de un trimestre en comparación con el mismo trimestre del año anterior (</w:t>
            </w:r>
            <w:r w:rsidDel="00000000" w:rsidR="00000000" w:rsidRPr="00000000">
              <w:rPr>
                <w:i w:val="1"/>
                <w:rtl w:val="0"/>
              </w:rPr>
              <w:t xml:space="preserve">Year-over-Year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QuarterlyRevenueGrowthYOY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7.7%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crecimiento porcentual de los ingresos de un trimestre en comparación con el mismo trimestre del año anterior (</w:t>
            </w:r>
            <w:r w:rsidDel="00000000" w:rsidR="00000000" w:rsidRPr="00000000">
              <w:rPr>
                <w:i w:val="1"/>
                <w:rtl w:val="0"/>
              </w:rPr>
              <w:t xml:space="preserve">Year-over-Year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Mide la volatilidad de la acción en relación con la volatilidad del mercado general. Un valor menor a 1 indica que la acción es menos volátil que el mercado.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Información de Acciones y Operativa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Datos sobre la estructura de capital y el historial de precios.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7.9122537797793"/>
        <w:gridCol w:w="1475.4164675102516"/>
        <w:gridCol w:w="5022.183089733591"/>
        <w:tblGridChange w:id="0">
          <w:tblGrid>
            <w:gridCol w:w="2527.9122537797793"/>
            <w:gridCol w:w="1475.4164675102516"/>
            <w:gridCol w:w="5022.18308973359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Valor para IBM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SharesOutstanding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931,519,000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número total de acciones de la empresa actualmente en manos de todos los accionistas.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SharesFloat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929,386,000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Las acciones disponibles para el público para negociar, excluyendo las acciones restringidas o en manos de </w:t>
            </w:r>
            <w:r w:rsidDel="00000000" w:rsidR="00000000" w:rsidRPr="00000000">
              <w:rPr>
                <w:i w:val="1"/>
                <w:rtl w:val="0"/>
              </w:rPr>
              <w:t xml:space="preserve">insiders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52WeekHigh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$301.04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precio más alto alcanzado por la acción en los últimos 52 semanas.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52WeekLow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$197.92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El precio más bajo alcanzado por la acción en los últimos 52 semanas.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50DayMovingAverage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$259.30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El precio promedio de la acción durante los últimos 50 días de negociación, usado como indicador de tendencia a corto plazo.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200DayMovingAverage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$255.72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El precio promedio de la acción durante los últimos 200 días de negociación, usado como indicador de tendencia a largo plazo.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PercentInsiders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0.122%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acciones en manos de directivos, empleados y otros </w:t>
            </w:r>
            <w:r w:rsidDel="00000000" w:rsidR="00000000" w:rsidRPr="00000000">
              <w:rPr>
                <w:i w:val="1"/>
                <w:rtl w:val="0"/>
              </w:rPr>
              <w:t xml:space="preserve">insiders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PercentInstitutions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64.641%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acciones en manos de grandes inversores institucionales (fondos de inversión, pensiones, etc.).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