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ortada"/>
      </w:pPr>
      <w:r>
        <w:drawing>
          <wp:inline>
            <wp:extent cx="1259999" cy="1266511"/>
            <wp:effectExtent b="0" l="0" r="0" t="0"/>
            <wp:docPr descr="" title="" id="10" name="Picture"/>
            <a:graphic>
              <a:graphicData uri="http://schemas.openxmlformats.org/drawingml/2006/picture">
                <pic:pic>
                  <pic:nvPicPr>
                    <pic:cNvPr descr="C:\Users\a2020\AppData\Local\Temp\claude\C--Users-a2020-Documents-Tesis-Base-de-conocimiento\2da876e2-3967-4d50-bed3-94aaa36887e5\scratchpad/imgs/p001_1.png" id="11" name="Picture"/>
                    <pic:cNvPicPr>
                      <a:picLocks noChangeArrowheads="1" noChangeAspect="1"/>
                    </pic:cNvPicPr>
                  </pic:nvPicPr>
                  <pic:blipFill>
                    <a:blip r:embed="rId9"/>
                    <a:stretch>
                      <a:fillRect/>
                    </a:stretch>
                  </pic:blipFill>
                  <pic:spPr bwMode="auto">
                    <a:xfrm>
                      <a:off x="0" y="0"/>
                      <a:ext cx="1259999" cy="1266511"/>
                    </a:xfrm>
                    <a:prstGeom prst="rect">
                      <a:avLst/>
                    </a:prstGeom>
                    <a:noFill/>
                    <a:ln w="9525">
                      <a:noFill/>
                      <a:headEnd/>
                      <a:tailEnd/>
                    </a:ln>
                  </pic:spPr>
                </pic:pic>
              </a:graphicData>
            </a:graphic>
          </wp:inline>
        </w:drawing>
      </w:r>
    </w:p>
    <w:p>
      <w:pPr>
        <w:pStyle w:val="Portada"/>
      </w:pPr>
      <w:r>
        <w:rPr>
          <w:b/>
          <w:bCs/>
        </w:rPr>
        <w:t xml:space="preserve">PONTIFICIA UNIVERSIDAD CATÓLICA DEL PERÚ</w:t>
      </w:r>
    </w:p>
    <w:p>
      <w:pPr>
        <w:pStyle w:val="Portada"/>
      </w:pPr>
      <w:r>
        <w:rPr>
          <w:b/>
          <w:bCs/>
        </w:rPr>
        <w:t xml:space="preserve">FACULTAD DE CIENCIAS E INGENIERÍA</w:t>
      </w:r>
    </w:p>
    <w:p>
      <w:pPr>
        <w:pStyle w:val="Portada"/>
      </w:pPr>
      <w:r>
        <w:rPr>
          <w:b/>
          <w:bCs/>
        </w:rPr>
        <w:t xml:space="preserve">ESPECIALIDAD DE INGENIERÍA INFORMÁTICA</w:t>
      </w:r>
    </w:p>
    <w:p>
      <w:pPr>
        <w:pStyle w:val="Portada"/>
      </w:pPr>
      <w:r>
        <w:rPr>
          <w:b/>
          <w:bCs/>
        </w:rPr>
        <w:t xml:space="preserve">Desarrollo de una Arquitectura MLOps para la Validación Continua de Equidad (Fairness) como Prueba de Calidad (QA) en Modelos de Scoring Crediticio</w:t>
      </w:r>
    </w:p>
    <w:p>
      <w:pPr>
        <w:pStyle w:val="Portada"/>
      </w:pPr>
      <w:r>
        <w:t xml:space="preserve">Tesis para obtener el título profesional de Ingeniero Informático</w:t>
      </w:r>
    </w:p>
    <w:p>
      <w:pPr>
        <w:pStyle w:val="Portada"/>
      </w:pPr>
      <w:r>
        <w:rPr>
          <w:b/>
          <w:bCs/>
        </w:rPr>
        <w:t xml:space="preserve">AUTOR:</w:t>
      </w:r>
      <w:r>
        <w:t xml:space="preserve"> </w:t>
      </w:r>
      <w:r>
        <w:t xml:space="preserve">Sergio Alonso Chumbimuni Bustamante</w:t>
      </w:r>
    </w:p>
    <w:p>
      <w:pPr>
        <w:pStyle w:val="Portada"/>
      </w:pPr>
      <w:r>
        <w:rPr>
          <w:b/>
          <w:bCs/>
        </w:rPr>
        <w:t xml:space="preserve">ASESOR:</w:t>
      </w:r>
      <w:r>
        <w:t xml:space="preserve"> </w:t>
      </w:r>
      <w:r>
        <w:t xml:space="preserve">Luis Vives Garnique</w:t>
      </w:r>
    </w:p>
    <w:p>
      <w:pPr>
        <w:pStyle w:val="Portada"/>
      </w:pPr>
      <w:r>
        <w:t xml:space="preserve">Lima, Setiembre, 2026</w:t>
      </w:r>
    </w:p>
    <w:p>
      <w:pPr>
        <w:pStyle w:val="Portada"/>
      </w:pPr>
      <w:r>
        <w:t xml:space="preserve">Versión 2 (borrador de revisión)</w:t>
      </w:r>
    </w:p>
    <w:p>
      <w:r>
        <w:br w:type="page"/>
      </w:r>
    </w:p>
    <w:p>
      <w:pPr>
        <w:pStyle w:val="TOCHeading"/>
      </w:pPr>
      <w:r>
        <w:t xml:space="preserve">Índice</w:t>
      </w:r>
    </w:p>
    <w:p>
      <w:r>
        <w:fldChar w:fldCharType="begin" w:dirty="true"/>
      </w:r>
      <w:r>
        <w:instrText xml:space="preserve"> TOC \o "1-3" \h \z \u </w:instrText>
      </w:r>
      <w:r>
        <w:fldChar w:fldCharType="separate"/>
      </w:r>
      <w:r>
        <w:t>Índice: haga clic derecho aquí y elija «Actualizar campos» (o presione F9).</w:t>
      </w:r>
      <w:r>
        <w:fldChar w:fldCharType="end"/>
      </w:r>
    </w:p>
    <w:bookmarkStart w:id="27" w:name="capítulo-1.-generalidades"/>
    <w:p>
      <w:pPr>
        <w:pStyle w:val="Heading1"/>
      </w:pPr>
      <w:r>
        <w:t xml:space="preserve">Capítulo 1. Generalidades</w:t>
      </w:r>
    </w:p>
    <w:bookmarkStart w:id="18" w:name="problemática"/>
    <w:p>
      <w:pPr>
        <w:pStyle w:val="Heading2"/>
      </w:pPr>
      <w:r>
        <w:t xml:space="preserve">1.1 Problemática</w:t>
      </w:r>
    </w:p>
    <w:bookmarkStart w:id="12" w:name="descripción"/>
    <w:p>
      <w:pPr>
        <w:pStyle w:val="Heading3"/>
      </w:pPr>
      <w:r>
        <w:t xml:space="preserve">1.1.1 Descripción</w:t>
      </w:r>
    </w:p>
    <w:p>
      <w:pPr>
        <w:pStyle w:val="FirstParagraph"/>
      </w:pPr>
      <w:r>
        <w:t xml:space="preserve">En el ecosistema financiero internacional, las instituciones de tecnología financiera (</w:t>
      </w:r>
      <w:r>
        <w:rPr>
          <w:i/>
          <w:iCs/>
        </w:rPr>
        <w:t xml:space="preserve">Fintech</w:t>
      </w:r>
      <w:r>
        <w:t xml:space="preserve">) y la banca global emplean de manera generalizada algoritmos de aprendizaje automático (</w:t>
      </w:r>
      <w:r>
        <w:rPr>
          <w:i/>
          <w:iCs/>
        </w:rPr>
        <w:t xml:space="preserve">Machine Learning - ML</w:t>
      </w:r>
      <w:r>
        <w:t xml:space="preserve">) para automatizar el otorgamiento de créditos y evaluar la solvencia de los solicitantes (Byanjankar et al., 2015; Immaneni, 2020). Si bien este enfoque reduce los costos operativos y optimiza los tiempos de respuesta, los modelos predictivos absorben y perpetúan de manera silenciosa los sesgos sociales e históricos presentes en los datos de entrenamiento (Ghai et al., 2022; Caballar &amp; Stryker, 2024). El gran riesgo es la generación de exclusión financiera y discriminación injustificada contra subgrupos vulnerables al calificar su comportamiento crediticio. Evidencia empírica reciente en la era Fintech demuestra que, aunque el uso de algoritmos de</w:t>
      </w:r>
      <w:r>
        <w:t xml:space="preserve"> </w:t>
      </w:r>
      <w:r>
        <w:rPr>
          <w:i/>
          <w:iCs/>
        </w:rPr>
        <w:t xml:space="preserve">lending</w:t>
      </w:r>
      <w:r>
        <w:t xml:space="preserve"> </w:t>
      </w:r>
      <w:r>
        <w:t xml:space="preserve">automatizados puede reducir la discriminación en aproximadamente un 40% en comparación con los prestamistas humanos tradicionales al eliminar prejuicios cara a cara, el sesgo algorítmico y la discriminación por proxy persisten de forma sistemática (Bartlett et al., 2022).</w:t>
      </w:r>
    </w:p>
    <w:p>
      <w:pPr>
        <w:pStyle w:val="BodyText"/>
      </w:pPr>
      <w:r>
        <w:t xml:space="preserve">Un problema crítico en el desarrollo de estos sistemas es que la discriminación no surge únicamente del conjunto de datos inicial, sino que puede inyectarse y amplificarse de manera silenciosa durante las etapas intermedias de preparación de datos, como la limpieza, normalización o imputación de valores faltantes (Biswas &amp; Rajan, 2021). En la práctica operativa actual, los análisis de equidad se realizan únicamente al final del ciclo de desarrollo sobre el modelo ya entrenado, tratándolo como una</w:t>
      </w:r>
      <w:r>
        <w:t xml:space="preserve"> </w:t>
      </w:r>
      <w:r>
        <w:t xml:space="preserve">“caja negra”</w:t>
      </w:r>
      <w:r>
        <w:t xml:space="preserve"> </w:t>
      </w:r>
      <w:r>
        <w:t xml:space="preserve">(Nguyen, 2024). Esta falta de verificación modular impide a los desarrolladores y científicos de datos identificar en qué punto específico de la canalización de software se originó la desviación, obligando a los equipos a realizar costosos, lentos y propensos a error procesos de depuración manual.</w:t>
      </w:r>
    </w:p>
    <w:p>
      <w:pPr>
        <w:pStyle w:val="BodyText"/>
      </w:pPr>
      <w:r>
        <w:t xml:space="preserve">Asimismo, la confiabilidad de los clasificadores de riesgo disminuye drásticamente tras su despliegue debido a que el comportamiento demográfico y macroeconómico del mercado real cambia constantemente en comparación con el entorno estático con el que fueron entrenados (Nigenda et al., 2022). Sin una supervisión constante, estas variaciones provocan que un algoritmo que se consideraba justo y preciso durante su desarrollo comience a generar resultados discriminatorios inadvertidos al operar con datos en vivo (Avuthu, 2021; Caballar &amp; Stryker, 2024).</w:t>
      </w:r>
    </w:p>
    <w:p>
      <w:pPr>
        <w:pStyle w:val="BodyText"/>
      </w:pPr>
      <w:r>
        <w:t xml:space="preserve">Esta necesidad técnica ha cobrado un carácter de urgencia legal a nivel internacional. El Reglamento (UE) 2024/1689 (Ley de IA de la Unión Europea - EU AI Act) clasifica de manera estricta a los sistemas de IA utilizados para evaluar la solvencia o la calificación crediticia de personas naturales como sistemas de riesgo alto (Anexo III, punto 5.b) (Reglamento IA UE, 2024). En el Perú, el Reglamento de la Ley N.° 31814, aprobado por el Decreto Supremo N.° 115-2025-PCM, adopta el mismo criterio al considerar de riesgo alto el uso de sistemas de IA para</w:t>
      </w:r>
      <w:r>
        <w:t xml:space="preserve"> </w:t>
      </w:r>
      <w:r>
        <w:t xml:space="preserve">“determinar la evaluación crediticia de personas”</w:t>
      </w:r>
      <w:r>
        <w:t xml:space="preserve"> </w:t>
      </w:r>
      <w:r>
        <w:t xml:space="preserve">(art. 24.1, literal g) (Presidencia del Consejo de Ministros [PCM], 2025). Asimismo, en los Estados Unidos, regulaciones como la</w:t>
      </w:r>
      <w:r>
        <w:t xml:space="preserve"> </w:t>
      </w:r>
      <w:r>
        <w:rPr>
          <w:i/>
          <w:iCs/>
        </w:rPr>
        <w:t xml:space="preserve">Equal Credit Opportunity Act</w:t>
      </w:r>
      <w:r>
        <w:t xml:space="preserve"> </w:t>
      </w:r>
      <w:r>
        <w:t xml:space="preserve">(ECOA) prohíben de forma contundente la discriminación crediticia basándose en atributos protegidos como el género, la raza o la edad (ECOA, 1974). Estos marcos internacionales imponen a los desarrolladores e implementadores obligaciones imperativas de control de calidad, mitigación preventiva de sesgos y el mantenimiento de un registro de trazabilidad automático de las fuentes de datos y la lógica de los algoritmos para facilitar auditorías externas (Reglamento IA UE, 2024).</w:t>
      </w:r>
    </w:p>
    <w:p>
      <w:pPr>
        <w:pStyle w:val="BodyText"/>
      </w:pPr>
      <w:r>
        <w:t xml:space="preserve">La ausencia de metodologías integradas que automaticen la verificación de equidad etapa por etapa en el ciclo de vida del software y que generen documentación auditable sobre las decisiones del modelo impide que las Fintech operen de forma competitiva a escala global mientras cumplen simultáneamente con los estándares éticos y las exigencias de fiscalización de los reguladores financieros más estrictos del mundo.</w:t>
      </w:r>
    </w:p>
    <w:bookmarkEnd w:id="12"/>
    <w:bookmarkStart w:id="16" w:name="árbol-de-problemas"/>
    <w:p>
      <w:pPr>
        <w:pStyle w:val="Heading3"/>
      </w:pPr>
      <w:r>
        <w:t xml:space="preserve">1.1.2 Árbol de problemas</w:t>
      </w:r>
    </w:p>
    <w:p>
      <w:pPr>
        <w:pStyle w:val="FirstParagraph"/>
      </w:pPr>
      <w:r>
        <w:t xml:space="preserve">En la Figura 1 se presenta el árbol de problemas de la presente investigación, en el cual se representa de manera esquemática la relación entre las causas que originan la problemática identificada en los flujos de calificación crediticia automática.</w:t>
      </w:r>
    </w:p>
    <w:p>
      <w:pPr>
        <w:pStyle w:val="BodyText"/>
        <w:jc w:val="center"/>
      </w:pPr>
      <w:r>
        <w:drawing>
          <wp:inline>
            <wp:extent cx="5727700" cy="3308447"/>
            <wp:effectExtent b="0" l="0" r="0" t="0"/>
            <wp:docPr descr="Figura 1: Árbol de problemas" title="" id="14" name="Picture"/>
            <a:graphic>
              <a:graphicData uri="http://schemas.openxmlformats.org/drawingml/2006/picture">
                <pic:pic>
                  <pic:nvPicPr>
                    <pic:cNvPr descr="C:/Users/a2020/Documents/Tesis/Base%20de%20conocimiento/imagenes/fig01-arbol-de-problemas.png" id="15" name="Picture"/>
                    <pic:cNvPicPr>
                      <a:picLocks noChangeArrowheads="1" noChangeAspect="1"/>
                    </pic:cNvPicPr>
                  </pic:nvPicPr>
                  <pic:blipFill>
                    <a:blip r:embed="rId13"/>
                    <a:stretch>
                      <a:fillRect/>
                    </a:stretch>
                  </pic:blipFill>
                  <pic:spPr bwMode="auto">
                    <a:xfrm>
                      <a:off x="0" y="0"/>
                      <a:ext cx="5727700" cy="3308447"/>
                    </a:xfrm>
                    <a:prstGeom prst="rect">
                      <a:avLst/>
                    </a:prstGeom>
                    <a:noFill/>
                    <a:ln w="9525">
                      <a:noFill/>
                      <a:headEnd/>
                      <a:tailEnd/>
                    </a:ln>
                  </pic:spPr>
                </pic:pic>
              </a:graphicData>
            </a:graphic>
          </wp:inline>
        </w:drawing>
      </w:r>
    </w:p>
    <w:p>
      <w:pPr>
        <w:pStyle w:val="BodyText"/>
        <w:keepNext w:val="0"/>
        <w:jc w:val="center"/>
      </w:pPr>
      <w:r>
        <w:rPr>
          <w:b/>
          <w:bCs/>
        </w:rPr>
        <w:t xml:space="preserve">Figura 1: Árbol de problemas</w:t>
      </w:r>
    </w:p>
    <w:p>
      <w:pPr>
        <w:pStyle w:val="BodyText"/>
      </w:pPr>
      <w:r>
        <w:t xml:space="preserve">(texto contenido en la figura):**</w:t>
      </w:r>
      <w:r>
        <w:t xml:space="preserve"> </w:t>
      </w:r>
      <w:r>
        <w:t xml:space="preserve">&gt; - Problema central:</w:t>
      </w:r>
      <w:r>
        <w:t xml:space="preserve"> </w:t>
      </w:r>
      <w:r>
        <w:t xml:space="preserve">“Deficiencias arquitectónicas y metodológicas en la validación, monitoreo continuo y documentación auditable de la equidad en los pipelines MLOps de scoring crediticio.”</w:t>
      </w:r>
      <w:r>
        <w:t xml:space="preserve"> </w:t>
      </w:r>
      <w:r>
        <w:t xml:space="preserve">&gt; - Efectos:</w:t>
      </w:r>
      <w:r>
        <w:t xml:space="preserve"> </w:t>
      </w:r>
      <w:r>
        <w:t xml:space="preserve">“Toma de decisiones arbitrarias y desconfianza en la adopción de sistemas de IA.”</w:t>
      </w:r>
      <w:r>
        <w:t xml:space="preserve"> </w:t>
      </w:r>
      <w:r>
        <w:t xml:space="preserve">·</w:t>
      </w:r>
      <w:r>
        <w:t xml:space="preserve"> </w:t>
      </w:r>
      <w:r>
        <w:t xml:space="preserve">“Degradación silenciosa de la equidad en el software y altos costos de depuración.”</w:t>
      </w:r>
      <w:r>
        <w:t xml:space="preserve"> </w:t>
      </w:r>
      <w:r>
        <w:t xml:space="preserve">·</w:t>
      </w:r>
      <w:r>
        <w:t xml:space="preserve"> </w:t>
      </w:r>
      <w:r>
        <w:t xml:space="preserve">“Incapacidad para cumplir con auditorías éticas y regulatorias.”</w:t>
      </w:r>
      <w:r>
        <w:t xml:space="preserve"> </w:t>
      </w:r>
      <w:r>
        <w:t xml:space="preserve">·</w:t>
      </w:r>
      <w:r>
        <w:t xml:space="preserve"> </w:t>
      </w:r>
      <w:r>
        <w:t xml:space="preserve">“Despliegue continuo en producción de modelos de scoring crediticio discriminatorios.”</w:t>
      </w:r>
      <w:r>
        <w:t xml:space="preserve"> </w:t>
      </w:r>
      <w:r>
        <w:t xml:space="preserve">&gt; - Causas:</w:t>
      </w:r>
      <w:r>
        <w:t xml:space="preserve"> </w:t>
      </w:r>
      <w:r>
        <w:t xml:space="preserve">“Carencia de arquitecturas MLOps que evaluén los sesgos de pipeline de forma inherente.”</w:t>
      </w:r>
      <w:r>
        <w:t xml:space="preserve"> </w:t>
      </w:r>
      <w:r>
        <w:t xml:space="preserve">·</w:t>
      </w:r>
      <w:r>
        <w:t xml:space="preserve"> </w:t>
      </w:r>
      <w:r>
        <w:t xml:space="preserve">“Falta de una propuesta arquitectónica integrada que evalúe los sesgos en las diferentes etapas del flujo.”</w:t>
      </w:r>
      <w:r>
        <w:t xml:space="preserve"> </w:t>
      </w:r>
      <w:r>
        <w:t xml:space="preserve">·</w:t>
      </w:r>
      <w:r>
        <w:t xml:space="preserve"> </w:t>
      </w:r>
      <w:r>
        <w:t xml:space="preserve">“Ausencia de soluciones MLOps implementadas que articulen la evaluación continua con trazabilidad y documentación.”</w:t>
      </w:r>
      <w:r>
        <w:t xml:space="preserve"> </w:t>
      </w:r>
      <w:r>
        <w:t xml:space="preserve">·</w:t>
      </w:r>
      <w:r>
        <w:t xml:space="preserve"> </w:t>
      </w:r>
      <w:r>
        <w:t xml:space="preserve">“Carencia en la evaluación comparativoa del desempeño de arquitecturas MLOps para la mitigación de sesgos en vivo,”</w:t>
      </w:r>
    </w:p>
    <w:p>
      <w:pPr>
        <w:pStyle w:val="Compact"/>
        <w:numPr>
          <w:ilvl w:val="0"/>
          <w:numId w:val="1001"/>
        </w:numPr>
      </w:pPr>
      <w:r>
        <w:rPr>
          <w:b/>
          <w:bCs/>
        </w:rPr>
        <w:t xml:space="preserve">Canal de Causalidad 1 (Pre-desarrollo - Análisis de la Literatura):</w:t>
      </w:r>
      <w:r>
        <w:t xml:space="preserve"> </w:t>
      </w:r>
      <w:r>
        <w:t xml:space="preserve">La carencia de arquitecturas MLOps que evalúen los sesgos de la canalización de</w:t>
      </w:r>
      <w:r>
        <w:t xml:space="preserve"> </w:t>
      </w:r>
      <w:r>
        <w:rPr>
          <w:i/>
          <w:iCs/>
        </w:rPr>
        <w:t xml:space="preserve">Machine Learning</w:t>
      </w:r>
      <w:r>
        <w:t xml:space="preserve"> </w:t>
      </w:r>
      <w:r>
        <w:t xml:space="preserve">de forma inherente conduce a la toma de decisiones arbitrarias e injustificables para los solicitantes de crédito, limitando la confianza en la adopción de estos sistemas. Al no contar con flujos de trabajo automatizados que incorporen consideraciones éticas desde su raíz, la selección de modelos se reduce a criterios de exactitud, ignorando asimetrías de impacto en atributos protegidos. Este canal justifica el Objetivo Específico O1 (Analizar), orientado a identificar las brechas y capacidades de gobernanza ética en las arquitecturas MLOps existentes.</w:t>
      </w:r>
    </w:p>
    <w:p>
      <w:pPr>
        <w:pStyle w:val="Compact"/>
        <w:numPr>
          <w:ilvl w:val="0"/>
          <w:numId w:val="1001"/>
        </w:numPr>
      </w:pPr>
      <w:r>
        <w:rPr>
          <w:b/>
          <w:bCs/>
        </w:rPr>
        <w:t xml:space="preserve">Canal de Causalidad 2 (Diseño Arquitectónico Modular - Etapas del Pipeline):</w:t>
      </w:r>
      <w:r>
        <w:t xml:space="preserve"> </w:t>
      </w:r>
      <w:r>
        <w:t xml:space="preserve">La falta de una propuesta arquitectónica MLOps integrada que evalúe de forma continua y modular los sesgos introducidos en las diferentes etapas del</w:t>
      </w:r>
      <w:r>
        <w:t xml:space="preserve"> </w:t>
      </w:r>
      <w:r>
        <w:rPr>
          <w:i/>
          <w:iCs/>
        </w:rPr>
        <w:t xml:space="preserve">pipeline</w:t>
      </w:r>
      <w:r>
        <w:t xml:space="preserve"> </w:t>
      </w:r>
      <w:r>
        <w:t xml:space="preserve">de</w:t>
      </w:r>
      <w:r>
        <w:t xml:space="preserve"> </w:t>
      </w:r>
      <w:r>
        <w:rPr>
          <w:i/>
          <w:iCs/>
        </w:rPr>
        <w:t xml:space="preserve">Machine Learning</w:t>
      </w:r>
      <w:r>
        <w:t xml:space="preserve"> </w:t>
      </w:r>
      <w:r>
        <w:t xml:space="preserve">—incluyendo la ingesta, el preprocesamiento, el entrenamiento y el monitoreo— genera una degradación silenciosa de la equidad del software y elevados costos operativos para diagnosticar y localizar la causa raíz de la discriminación en el código. Al tratarse el</w:t>
      </w:r>
      <w:r>
        <w:t xml:space="preserve"> </w:t>
      </w:r>
      <w:r>
        <w:rPr>
          <w:i/>
          <w:iCs/>
        </w:rPr>
        <w:t xml:space="preserve">pipeline</w:t>
      </w:r>
      <w:r>
        <w:t xml:space="preserve"> </w:t>
      </w:r>
      <w:r>
        <w:t xml:space="preserve">como un bloque monolítico, los sesgos por proxy se propagan sin control en las fases intermedias de transformación. Este canal justifica el Objetivo Específico O2 (Diseñar), orientado a establecer un esquema arquitectónico modular que localice y controle preventivamente el sesgo etapa por etapa.</w:t>
      </w:r>
    </w:p>
    <w:p>
      <w:pPr>
        <w:pStyle w:val="Compact"/>
        <w:numPr>
          <w:ilvl w:val="0"/>
          <w:numId w:val="1001"/>
        </w:numPr>
      </w:pPr>
      <w:r>
        <w:rPr>
          <w:b/>
          <w:bCs/>
        </w:rPr>
        <w:t xml:space="preserve">Canal de Causalidad 3 (Flujo CI/CD - Implementación del Prototipo):</w:t>
      </w:r>
      <w:r>
        <w:t xml:space="preserve"> </w:t>
      </w:r>
      <w:r>
        <w:t xml:space="preserve">La ausencia de soluciones MLOps implementadas que articulen herramientas y metodologías orientadas a la evaluación continua de sesgos con la trazabilidad y la documentación auditable de las decisiones algorítmicas resulta en la incapacidad de la Fintech para cumplir con auditorías éticas, de gobernanza y regulatorias internacionales severas (como el EU AI Act o la ECOA estadounidense) debido a la opacidad y la falta de evidencias técnicas estructuradas. Al no integrar el control ético de calidad con repositorios de metadatos, se mantiene una dependencia de procesos manuales lentos e inconsistentes. Este canal justifica el Objetivo Específico O3 (Desarrollar), cuyo propósito es instrumentar un prototipo automatizado que integre controles de equidad con una capa semántica para la trazabilidad.</w:t>
      </w:r>
    </w:p>
    <w:p>
      <w:pPr>
        <w:pStyle w:val="Compact"/>
        <w:numPr>
          <w:ilvl w:val="0"/>
          <w:numId w:val="1001"/>
        </w:numPr>
      </w:pPr>
      <w:r>
        <w:rPr>
          <w:b/>
          <w:bCs/>
        </w:rPr>
        <w:t xml:space="preserve">Canal de Causalidad 4 (Monitoreo - Evaluación Comparativa):</w:t>
      </w:r>
      <w:r>
        <w:t xml:space="preserve"> </w:t>
      </w:r>
      <w:r>
        <w:t xml:space="preserve">La carencia en la evaluación comparativa del desempeño de arquitecturas MLOps orientadas a la mitigación y evaluación continua de sesgos ante escenarios dinámicos del mundo real origina el despliegue involuntario y la persistencia en producción de modelos de</w:t>
      </w:r>
      <w:r>
        <w:t xml:space="preserve"> </w:t>
      </w:r>
      <w:r>
        <w:rPr>
          <w:i/>
          <w:iCs/>
        </w:rPr>
        <w:t xml:space="preserve">scoring</w:t>
      </w:r>
      <w:r>
        <w:t xml:space="preserve"> </w:t>
      </w:r>
      <w:r>
        <w:t xml:space="preserve">crediticio discriminatorios que perpetúan sesgos históricos y daños sistémicos de exclusión financiera contra subgrupos vulnerables. Al no validar experimentalmente la resiliencia del sistema frente a perturbaciones o derivas de datos, el</w:t>
      </w:r>
      <w:r>
        <w:t xml:space="preserve"> </w:t>
      </w:r>
      <w:r>
        <w:rPr>
          <w:i/>
          <w:iCs/>
        </w:rPr>
        <w:t xml:space="preserve">pipeline</w:t>
      </w:r>
      <w:r>
        <w:t xml:space="preserve"> </w:t>
      </w:r>
      <w:r>
        <w:t xml:space="preserve">permanece vulnerable. Este canal justifica el Objetivo Específico O4 (Evaluar), orientado a contrastar empíricamente la efectividad de la arquitectura bajo pruebas de estrés de forma sistémica.</w:t>
      </w:r>
    </w:p>
    <w:bookmarkEnd w:id="16"/>
    <w:bookmarkStart w:id="17" w:name="problema-seleccionado"/>
    <w:p>
      <w:pPr>
        <w:pStyle w:val="Heading3"/>
      </w:pPr>
      <w:r>
        <w:t xml:space="preserve">1.1.3 Problema seleccionado</w:t>
      </w:r>
    </w:p>
    <w:p>
      <w:pPr>
        <w:pStyle w:val="FirstParagraph"/>
      </w:pPr>
      <w:r>
        <w:t xml:space="preserve">El problema central seleccionado consiste en las deficiencias metodológicas y de infraestructura para la validación, el monitoreo continuo y la documentación auditable de la equidad algorítmica dentro de los</w:t>
      </w:r>
      <w:r>
        <w:t xml:space="preserve"> </w:t>
      </w:r>
      <w:r>
        <w:rPr>
          <w:i/>
          <w:iCs/>
        </w:rPr>
        <w:t xml:space="preserve">pipelines</w:t>
      </w:r>
      <w:r>
        <w:t xml:space="preserve"> </w:t>
      </w:r>
      <w:r>
        <w:t xml:space="preserve">MLOps de</w:t>
      </w:r>
      <w:r>
        <w:t xml:space="preserve"> </w:t>
      </w:r>
      <w:r>
        <w:rPr>
          <w:i/>
          <w:iCs/>
        </w:rPr>
        <w:t xml:space="preserve">scoring</w:t>
      </w:r>
      <w:r>
        <w:t xml:space="preserve"> </w:t>
      </w:r>
      <w:r>
        <w:t xml:space="preserve">crediticio a nivel global. Este problema radica en que los flujos de trabajo actuales de aprendizaje automático separan el despliegue técnico del aseguramiento de la calidad ética, concentrando el análisis en la etapa final en lugar de extenderlo a todo el ciclo de vida de los datos y del modelo (Stoyanovich et al., 2022). Al no evaluar la equidad de forma continua e integrada en el ciclo de vida del software, las canalizaciones corren el riesgo de sufrir degradaciones silenciosas donde las transformaciones de datos intermedias o los cambios del entorno en producción introducen discriminación contra subgrupos vulnerables sin generar alertas técnicas (Biswas &amp; Rajan, 2021).</w:t>
      </w:r>
    </w:p>
    <w:bookmarkEnd w:id="17"/>
    <w:bookmarkEnd w:id="18"/>
    <w:bookmarkStart w:id="23" w:name="objetivos"/>
    <w:p>
      <w:pPr>
        <w:pStyle w:val="Heading2"/>
      </w:pPr>
      <w:r>
        <w:t xml:space="preserve">1.2 Objetivos</w:t>
      </w:r>
    </w:p>
    <w:bookmarkStart w:id="19" w:name="objetivo-general"/>
    <w:p>
      <w:pPr>
        <w:pStyle w:val="Heading3"/>
      </w:pPr>
      <w:r>
        <w:t xml:space="preserve">1.2.1 Objetivo General</w:t>
      </w:r>
    </w:p>
    <w:p>
      <w:pPr>
        <w:pStyle w:val="FirstParagraph"/>
      </w:pPr>
      <w:r>
        <w:t xml:space="preserve">Implementar una arquitectura MLOps de Nivel 2 orientada a la validación continua de equidad (</w:t>
      </w:r>
      <w:r>
        <w:rPr>
          <w:i/>
          <w:iCs/>
        </w:rPr>
        <w:t xml:space="preserve">fairness</w:t>
      </w:r>
      <w:r>
        <w:t xml:space="preserve">) como prueba de aseguramiento de calidad (QA) automatizada y auditable para modelos predictivos supervisados de</w:t>
      </w:r>
      <w:r>
        <w:t xml:space="preserve"> </w:t>
      </w:r>
      <w:r>
        <w:rPr>
          <w:i/>
          <w:iCs/>
        </w:rPr>
        <w:t xml:space="preserve">scoring</w:t>
      </w:r>
      <w:r>
        <w:t xml:space="preserve"> </w:t>
      </w:r>
      <w:r>
        <w:t xml:space="preserve">crediticio, demostrando su viabilidad técnica, eficacia en la mitigación de riesgos éticos y adaptabilidad operativa en el contexto global de desarrollo de software confiable.</w:t>
      </w:r>
    </w:p>
    <w:bookmarkEnd w:id="19"/>
    <w:bookmarkStart w:id="20" w:name="objetivos-específicos"/>
    <w:p>
      <w:pPr>
        <w:pStyle w:val="Heading3"/>
      </w:pPr>
      <w:r>
        <w:t xml:space="preserve">1.2.2 Objetivos específicos</w:t>
      </w:r>
    </w:p>
    <w:p>
      <w:pPr>
        <w:pStyle w:val="Compact"/>
        <w:numPr>
          <w:ilvl w:val="0"/>
          <w:numId w:val="1002"/>
        </w:numPr>
      </w:pPr>
      <w:r>
        <w:rPr>
          <w:b/>
          <w:bCs/>
        </w:rPr>
        <w:t xml:space="preserve">O1:</w:t>
      </w:r>
      <w:r>
        <w:t xml:space="preserve"> </w:t>
      </w:r>
      <w:r>
        <w:t xml:space="preserve">Analizar el estado del arte y las brechas tecnológicas en las arquitecturas MLOps existentes que abordan el aseguramiento de equidad e integración de controles continuos en el desarrollo de software.</w:t>
      </w:r>
    </w:p>
    <w:p>
      <w:pPr>
        <w:pStyle w:val="Compact"/>
        <w:numPr>
          <w:ilvl w:val="0"/>
          <w:numId w:val="1002"/>
        </w:numPr>
      </w:pPr>
      <w:r>
        <w:rPr>
          <w:b/>
          <w:bCs/>
        </w:rPr>
        <w:t xml:space="preserve">O2:</w:t>
      </w:r>
      <w:r>
        <w:t xml:space="preserve"> </w:t>
      </w:r>
      <w:r>
        <w:t xml:space="preserve">Diseñar el esquema de la arquitectura MLOps que integre compuertas de calidad (</w:t>
      </w:r>
      <w:r>
        <w:rPr>
          <w:i/>
          <w:iCs/>
        </w:rPr>
        <w:t xml:space="preserve">QA Gates</w:t>
      </w:r>
      <w:r>
        <w:t xml:space="preserve">) modulares, gobernadas por contratos de equidad declarativos, y un modelo semántico para garantizar la trazabilidad ética en todas las etapas del</w:t>
      </w:r>
      <w:r>
        <w:t xml:space="preserve"> </w:t>
      </w:r>
      <w:r>
        <w:rPr>
          <w:i/>
          <w:iCs/>
        </w:rPr>
        <w:t xml:space="preserve">pipeline</w:t>
      </w:r>
      <w:r>
        <w:t xml:space="preserve"> </w:t>
      </w:r>
      <w:r>
        <w:t xml:space="preserve">de</w:t>
      </w:r>
      <w:r>
        <w:t xml:space="preserve"> </w:t>
      </w:r>
      <w:r>
        <w:rPr>
          <w:i/>
          <w:iCs/>
        </w:rPr>
        <w:t xml:space="preserve">scoring</w:t>
      </w:r>
      <w:r>
        <w:t xml:space="preserve"> </w:t>
      </w:r>
      <w:r>
        <w:t xml:space="preserve">crediticio.</w:t>
      </w:r>
    </w:p>
    <w:p>
      <w:pPr>
        <w:pStyle w:val="Compact"/>
        <w:numPr>
          <w:ilvl w:val="0"/>
          <w:numId w:val="1002"/>
        </w:numPr>
      </w:pPr>
      <w:r>
        <w:rPr>
          <w:b/>
          <w:bCs/>
        </w:rPr>
        <w:t xml:space="preserve">O3:</w:t>
      </w:r>
      <w:r>
        <w:t xml:space="preserve"> </w:t>
      </w:r>
      <w:r>
        <w:t xml:space="preserve">Implementar el prototipo funcional de la arquitectura integrando herramientas de automatización CI/CD, un motor de contratos de validación de equidad evaluados en tiempo de compilación y el registro semántico del linaje en un grafo de conocimiento.</w:t>
      </w:r>
    </w:p>
    <w:p>
      <w:pPr>
        <w:pStyle w:val="Compact"/>
        <w:numPr>
          <w:ilvl w:val="0"/>
          <w:numId w:val="1002"/>
        </w:numPr>
      </w:pPr>
      <w:r>
        <w:rPr>
          <w:b/>
          <w:bCs/>
        </w:rPr>
        <w:t xml:space="preserve">O4:</w:t>
      </w:r>
      <w:r>
        <w:t xml:space="preserve"> </w:t>
      </w:r>
      <w:r>
        <w:t xml:space="preserve">Evaluar la efectividad de la arquitectura MLOps propuesta en un entorno de simulación, utilizando un conjunto de datos de</w:t>
      </w:r>
      <w:r>
        <w:t xml:space="preserve"> </w:t>
      </w:r>
      <w:r>
        <w:rPr>
          <w:i/>
          <w:iCs/>
        </w:rPr>
        <w:t xml:space="preserve">scoring</w:t>
      </w:r>
      <w:r>
        <w:t xml:space="preserve"> </w:t>
      </w:r>
      <w:r>
        <w:t xml:space="preserve">crediticio reportado como proveniente de una Fintech de Asia Central y datos públicos de solicitudes de crédito hipotecario de Estados Unidos, mediante pruebas de estrés con inyección sintética de sesgos y derivas de datos.</w:t>
      </w:r>
    </w:p>
    <w:bookmarkEnd w:id="20"/>
    <w:bookmarkStart w:id="21" w:name="resultados-esperados"/>
    <w:p>
      <w:pPr>
        <w:pStyle w:val="Heading3"/>
      </w:pPr>
      <w:r>
        <w:t xml:space="preserve">1.2.3 Resultados esperados</w:t>
      </w:r>
    </w:p>
    <w:p>
      <w:pPr>
        <w:pStyle w:val="FirstParagraph"/>
      </w:pPr>
      <w:r>
        <w:t xml:space="preserve">A continuación, se detallan los 3 resultados esperados correspondientes a cada objetivo específico:</w:t>
      </w:r>
    </w:p>
    <w:p>
      <w:pPr>
        <w:pStyle w:val="BodyText"/>
      </w:pPr>
      <w:r>
        <w:rPr>
          <w:b/>
          <w:bCs/>
        </w:rPr>
        <w:t xml:space="preserve">Para el Objetivo Específico 1 (Análisis de Arquitecturas MLOps existentes):</w:t>
      </w:r>
    </w:p>
    <w:p>
      <w:pPr>
        <w:pStyle w:val="Compact"/>
        <w:numPr>
          <w:ilvl w:val="0"/>
          <w:numId w:val="1003"/>
        </w:numPr>
      </w:pPr>
      <w:r>
        <w:rPr>
          <w:b/>
          <w:bCs/>
        </w:rPr>
        <w:t xml:space="preserve">R.E.1.1:</w:t>
      </w:r>
      <w:r>
        <w:t xml:space="preserve"> </w:t>
      </w:r>
      <w:r>
        <w:t xml:space="preserve">Un documento de revisión de la literatura que recopile y filtre las arquitecturas y marcos de trabajo MLOps actuales orientados a la validación de equidad en modelos predictivos.</w:t>
      </w:r>
    </w:p>
    <w:p>
      <w:pPr>
        <w:pStyle w:val="Compact"/>
        <w:numPr>
          <w:ilvl w:val="0"/>
          <w:numId w:val="1003"/>
        </w:numPr>
      </w:pPr>
      <w:r>
        <w:rPr>
          <w:b/>
          <w:bCs/>
        </w:rPr>
        <w:t xml:space="preserve">R.E.1.2:</w:t>
      </w:r>
      <w:r>
        <w:t xml:space="preserve"> </w:t>
      </w:r>
      <w:r>
        <w:t xml:space="preserve">Una matriz de análisis comparativo que evalúe las arquitecturas existentes en términos de sus capacidades de automatización, integración continua, monitoreo y trazabilidad documental.</w:t>
      </w:r>
    </w:p>
    <w:p>
      <w:pPr>
        <w:pStyle w:val="Compact"/>
        <w:numPr>
          <w:ilvl w:val="0"/>
          <w:numId w:val="1003"/>
        </w:numPr>
      </w:pPr>
      <w:r>
        <w:rPr>
          <w:b/>
          <w:bCs/>
        </w:rPr>
        <w:t xml:space="preserve">R.E.1.3:</w:t>
      </w:r>
      <w:r>
        <w:t xml:space="preserve"> </w:t>
      </w:r>
      <w:r>
        <w:t xml:space="preserve">Un informe de brechas tecnológicas que identifique las limitaciones operativas de las soluciones actuales para fundamentar y justificar el diseño de la nueva propuesta arquitectónica.</w:t>
      </w:r>
    </w:p>
    <w:p>
      <w:pPr>
        <w:pStyle w:val="FirstParagraph"/>
      </w:pPr>
      <w:r>
        <w:rPr>
          <w:b/>
          <w:bCs/>
        </w:rPr>
        <w:t xml:space="preserve">Para el Objetivo Específico 2 (Diseño de la arquitectura MLOps proactiva):</w:t>
      </w:r>
    </w:p>
    <w:p>
      <w:pPr>
        <w:pStyle w:val="Compact"/>
        <w:numPr>
          <w:ilvl w:val="0"/>
          <w:numId w:val="1004"/>
        </w:numPr>
      </w:pPr>
      <w:r>
        <w:rPr>
          <w:b/>
          <w:bCs/>
        </w:rPr>
        <w:t xml:space="preserve">R.E.2.1:</w:t>
      </w:r>
      <w:r>
        <w:t xml:space="preserve"> </w:t>
      </w:r>
      <w:r>
        <w:t xml:space="preserve">Un esquema arquitectónico detallado (C4 hasta el nivel 3) que defina la solución bajo un patrón de</w:t>
      </w:r>
      <w:r>
        <w:t xml:space="preserve"> </w:t>
      </w:r>
      <w:r>
        <w:rPr>
          <w:i/>
          <w:iCs/>
        </w:rPr>
        <w:t xml:space="preserve">Pipeline</w:t>
      </w:r>
      <w:r>
        <w:t xml:space="preserve"> </w:t>
      </w:r>
      <w:r>
        <w:t xml:space="preserve">por Etapas (Integración y Entrega Continua) y una capa superior Orientada al Conocimiento para la trazabilidad, estableciendo la ubicación exacta de las compuertas de calidad a lo largo de la canalización.</w:t>
      </w:r>
    </w:p>
    <w:p>
      <w:pPr>
        <w:pStyle w:val="Compact"/>
        <w:numPr>
          <w:ilvl w:val="0"/>
          <w:numId w:val="1004"/>
        </w:numPr>
      </w:pPr>
      <w:r>
        <w:rPr>
          <w:b/>
          <w:bCs/>
        </w:rPr>
        <w:t xml:space="preserve">R.E.2.2:</w:t>
      </w:r>
      <w:r>
        <w:t xml:space="preserve"> </w:t>
      </w:r>
      <w:r>
        <w:t xml:space="preserve">Una especificación de diseño de los componentes modulares de validación de equidad, que incluya el esquema declarativo común de los contratos y la formulación de las reglas que se evaluarán de forma preventiva en las fases críticas donde se genera el sesgo.</w:t>
      </w:r>
    </w:p>
    <w:p>
      <w:pPr>
        <w:pStyle w:val="Compact"/>
        <w:numPr>
          <w:ilvl w:val="0"/>
          <w:numId w:val="1004"/>
        </w:numPr>
      </w:pPr>
      <w:r>
        <w:rPr>
          <w:b/>
          <w:bCs/>
        </w:rPr>
        <w:t xml:space="preserve">R.E.2.3:</w:t>
      </w:r>
      <w:r>
        <w:t xml:space="preserve"> </w:t>
      </w:r>
      <w:r>
        <w:t xml:space="preserve">Un modelo conceptual de trazabilidad diseñado para capturar y estructurar los metadatos del sistema, permitiendo registrar el linaje de los datos y las métricas de equidad para su posterior auditoría.</w:t>
      </w:r>
    </w:p>
    <w:p>
      <w:pPr>
        <w:pStyle w:val="FirstParagraph"/>
      </w:pPr>
      <w:r>
        <w:rPr>
          <w:b/>
          <w:bCs/>
        </w:rPr>
        <w:t xml:space="preserve">Para el Objetivo Específico 3 (Implementación de la arquitectura MLOps propuesta):</w:t>
      </w:r>
    </w:p>
    <w:p>
      <w:pPr>
        <w:pStyle w:val="Compact"/>
        <w:numPr>
          <w:ilvl w:val="0"/>
          <w:numId w:val="1005"/>
        </w:numPr>
      </w:pPr>
      <w:r>
        <w:rPr>
          <w:b/>
          <w:bCs/>
        </w:rPr>
        <w:t xml:space="preserve">R.E.3.1:</w:t>
      </w:r>
      <w:r>
        <w:t xml:space="preserve"> </w:t>
      </w:r>
      <w:r>
        <w:t xml:space="preserve">Un entorno de integración continua automatizado y configurado, con versionado de datos y un motor de contratos que ejecute de forma automática las compuertas de calidad del</w:t>
      </w:r>
      <w:r>
        <w:t xml:space="preserve"> </w:t>
      </w:r>
      <w:r>
        <w:rPr>
          <w:i/>
          <w:iCs/>
        </w:rPr>
        <w:t xml:space="preserve">pipeline</w:t>
      </w:r>
      <w:r>
        <w:t xml:space="preserve"> </w:t>
      </w:r>
      <w:r>
        <w:t xml:space="preserve">de aprendizaje automático.</w:t>
      </w:r>
    </w:p>
    <w:p>
      <w:pPr>
        <w:pStyle w:val="Compact"/>
        <w:numPr>
          <w:ilvl w:val="0"/>
          <w:numId w:val="1005"/>
        </w:numPr>
      </w:pPr>
      <w:r>
        <w:rPr>
          <w:b/>
          <w:bCs/>
        </w:rPr>
        <w:t xml:space="preserve">R.E.3.2:</w:t>
      </w:r>
      <w:r>
        <w:t xml:space="preserve"> </w:t>
      </w:r>
      <w:r>
        <w:t xml:space="preserve">Los módulos de validación de equidad programados e integrados en la canalización, utilizando aserciones evaluadas en tiempo de compilación. Estos módulos tendrán la capacidad técnica de interrumpir automáticamente el flujo del orquestador, o de activar la remediación declarada en el contrato, cuando un componente viole los contratos de equidad establecidos.</w:t>
      </w:r>
    </w:p>
    <w:p>
      <w:pPr>
        <w:pStyle w:val="Compact"/>
        <w:numPr>
          <w:ilvl w:val="0"/>
          <w:numId w:val="1005"/>
        </w:numPr>
      </w:pPr>
      <w:r>
        <w:rPr>
          <w:b/>
          <w:bCs/>
        </w:rPr>
        <w:t xml:space="preserve">R.E.3.3:</w:t>
      </w:r>
      <w:r>
        <w:t xml:space="preserve"> </w:t>
      </w:r>
      <w:r>
        <w:t xml:space="preserve">Un servicio de monitoreo y registro implementado, capaz de recopilar información de las predicciones y del ciclo de vida del modelo para detectar desviaciones en el tiempo, generar las razones de rechazo y facilitar la exportación de reportes.</w:t>
      </w:r>
    </w:p>
    <w:p>
      <w:pPr>
        <w:pStyle w:val="FirstParagraph"/>
      </w:pPr>
      <w:r>
        <w:rPr>
          <w:b/>
          <w:bCs/>
        </w:rPr>
        <w:t xml:space="preserve">Para el Objetivo Específico 4 (Evaluación de la efectividad frente a enfoques tradicionales):</w:t>
      </w:r>
    </w:p>
    <w:p>
      <w:pPr>
        <w:pStyle w:val="Compact"/>
        <w:numPr>
          <w:ilvl w:val="0"/>
          <w:numId w:val="1006"/>
        </w:numPr>
      </w:pPr>
      <w:r>
        <w:rPr>
          <w:b/>
          <w:bCs/>
        </w:rPr>
        <w:t xml:space="preserve">R.E.4.1:</w:t>
      </w:r>
      <w:r>
        <w:t xml:space="preserve"> </w:t>
      </w:r>
      <w:r>
        <w:t xml:space="preserve">Escenarios de prueba de estrés mediante la inyección sintética de sesgos y derivas en el conjunto de datos de</w:t>
      </w:r>
      <w:r>
        <w:t xml:space="preserve"> </w:t>
      </w:r>
      <w:r>
        <w:rPr>
          <w:i/>
          <w:iCs/>
        </w:rPr>
        <w:t xml:space="preserve">scoring</w:t>
      </w:r>
      <w:r>
        <w:t xml:space="preserve"> </w:t>
      </w:r>
      <w:r>
        <w:t xml:space="preserve">crediticio, incluido un escenario de control sin inyección.</w:t>
      </w:r>
    </w:p>
    <w:p>
      <w:pPr>
        <w:pStyle w:val="Compact"/>
        <w:numPr>
          <w:ilvl w:val="0"/>
          <w:numId w:val="1006"/>
        </w:numPr>
      </w:pPr>
      <w:r>
        <w:rPr>
          <w:b/>
          <w:bCs/>
        </w:rPr>
        <w:t xml:space="preserve">R.E.4.2:</w:t>
      </w:r>
      <w:r>
        <w:t xml:space="preserve"> </w:t>
      </w:r>
      <w:r>
        <w:t xml:space="preserve">Resultados analíticos comparativos de rendimiento técnico (tasa de detección, precisión de localización, etapa de detección, tiempo hasta el bloqueo y tasa de falsos positivos) frente a enfoques tradicionales.</w:t>
      </w:r>
    </w:p>
    <w:p>
      <w:pPr>
        <w:pStyle w:val="Compact"/>
        <w:numPr>
          <w:ilvl w:val="0"/>
          <w:numId w:val="1006"/>
        </w:numPr>
      </w:pPr>
      <w:r>
        <w:rPr>
          <w:b/>
          <w:bCs/>
        </w:rPr>
        <w:t xml:space="preserve">R.E.4.3:</w:t>
      </w:r>
      <w:r>
        <w:t xml:space="preserve"> </w:t>
      </w:r>
      <w:r>
        <w:t xml:space="preserve">Informe final con consultas semánticas SPARQL y el reporte de cumplimiento PDF autogenerado desde el Grafo de Trazabilidad.</w:t>
      </w:r>
    </w:p>
    <w:bookmarkEnd w:id="21"/>
    <w:bookmarkStart w:id="22" w:name="Xb8b9d4cab450adb6f6245f7d74e66b8460d1b94"/>
    <w:p>
      <w:pPr>
        <w:pStyle w:val="Heading3"/>
      </w:pPr>
      <w:r>
        <w:t xml:space="preserve">1.2.4 Mapeo de objetivos, resultados y verificación</w:t>
      </w:r>
    </w:p>
    <w:p>
      <w:pPr>
        <w:pStyle w:val="FirstParagraph"/>
      </w:pPr>
      <w:r>
        <w:t xml:space="preserve">A continuación, se presenta la matriz de trazabilidad que vincula cada objetivo específico con sus respectivos resultados esperados, estableciendo los medios de verificación tangibles y los indicadores objetivamente verificables que certificarán el cumplimiento de las metas del proyecto a lo largo de su ciclo de desarrollo.</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3929"/>
        <w:gridCol w:w="1961"/>
        <w:gridCol w:w="3123"/>
      </w:tblGrid>
      <w:tr>
        <w:trPr>
          <w:tblHeader w:val="on"/>
          <w:tblHeader w:val="true"/>
        </w:trPr>
        <w:tc>
          <w:tcPr>
            <w:tcW w:type="dxa" w:w="3929"/>
          </w:tcPr>
          <w:p>
            <w:pPr>
              <w:pStyle w:val="Compact"/>
              <w:spacing w:after="40"/>
              <w:jc w:val="left"/>
            </w:pPr>
            <w:r>
              <w:rPr>
                <w:b/>
                <w:sz w:val="22"/>
              </w:rPr>
              <w:t xml:space="preserve">Resultado Esperado</w:t>
            </w:r>
          </w:p>
        </w:tc>
        <w:tc>
          <w:tcPr>
            <w:tcW w:type="dxa" w:w="1961"/>
          </w:tcPr>
          <w:p>
            <w:pPr>
              <w:pStyle w:val="Compact"/>
              <w:spacing w:after="40"/>
              <w:jc w:val="left"/>
            </w:pPr>
            <w:r>
              <w:rPr>
                <w:b/>
                <w:sz w:val="22"/>
              </w:rPr>
              <w:t xml:space="preserve">Medio de verificación</w:t>
            </w:r>
          </w:p>
        </w:tc>
        <w:tc>
          <w:tcPr>
            <w:tcW w:type="dxa" w:w="3124"/>
          </w:tcPr>
          <w:p>
            <w:pPr>
              <w:pStyle w:val="Compact"/>
              <w:spacing w:after="40"/>
              <w:jc w:val="left"/>
            </w:pPr>
            <w:r>
              <w:rPr>
                <w:b/>
                <w:sz w:val="22"/>
              </w:rPr>
              <w:t xml:space="preserve">Indicador objetivamente verificable</w:t>
            </w:r>
          </w:p>
        </w:tc>
      </w:tr>
      <w:tr>
        <w:tc>
          <w:tcPr>
            <w:tcW w:type="dxa" w:w="3929"/>
          </w:tcPr>
          <w:p>
            <w:pPr>
              <w:pStyle w:val="Compact"/>
              <w:spacing w:after="40"/>
              <w:jc w:val="left"/>
            </w:pPr>
            <w:r>
              <w:rPr>
                <w:b/>
                <w:bCs/>
                <w:sz w:val="22"/>
              </w:rPr>
              <w:t xml:space="preserve">R.E.1.1:</w:t>
            </w:r>
            <w:r>
              <w:rPr>
                <w:sz w:val="22"/>
              </w:rPr>
              <w:t xml:space="preserve"> </w:t>
            </w:r>
            <w:r>
              <w:rPr>
                <w:sz w:val="22"/>
              </w:rPr>
              <w:t xml:space="preserve">Un documento de revisión de la literatura que recopile y filtre las arquitecturas y marcos de trabajo</w:t>
            </w:r>
            <w:r>
              <w:rPr>
                <w:sz w:val="22"/>
              </w:rPr>
              <w:t xml:space="preserve"> </w:t>
            </w:r>
            <w:r>
              <w:rPr>
                <w:i/>
                <w:iCs/>
                <w:sz w:val="22"/>
              </w:rPr>
              <w:t xml:space="preserve">MLOps</w:t>
            </w:r>
            <w:r>
              <w:rPr>
                <w:sz w:val="22"/>
              </w:rPr>
              <w:t xml:space="preserve"> </w:t>
            </w:r>
            <w:r>
              <w:rPr>
                <w:sz w:val="22"/>
              </w:rPr>
              <w:t xml:space="preserve">actuales orientados a la validación de equidad en modelos predictivos.</w:t>
            </w:r>
          </w:p>
        </w:tc>
        <w:tc>
          <w:tcPr>
            <w:tcW w:type="dxa" w:w="1961"/>
          </w:tcPr>
          <w:p>
            <w:pPr>
              <w:pStyle w:val="Compact"/>
              <w:spacing w:after="40"/>
              <w:jc w:val="left"/>
            </w:pPr>
            <w:r>
              <w:rPr>
                <w:sz w:val="22"/>
              </w:rPr>
              <w:t xml:space="preserve">Capítulo 3 del documento de tesis (Estado del Arte).</w:t>
            </w:r>
          </w:p>
        </w:tc>
        <w:tc>
          <w:tcPr>
            <w:tcW w:type="dxa" w:w="3124"/>
          </w:tcPr>
          <w:p>
            <w:pPr>
              <w:pStyle w:val="Compact"/>
              <w:spacing w:after="40"/>
              <w:jc w:val="left"/>
            </w:pPr>
            <w:r>
              <w:rPr>
                <w:sz w:val="22"/>
              </w:rPr>
              <w:t xml:space="preserve">Revisión sistemática completada utilizando el diagrama de flujo PRISMA con al menos 20 estudios primarios seleccionados.</w:t>
            </w:r>
          </w:p>
        </w:tc>
      </w:tr>
      <w:tr>
        <w:tc>
          <w:tcPr>
            <w:tcW w:type="dxa" w:w="3929"/>
          </w:tcPr>
          <w:p>
            <w:pPr>
              <w:pStyle w:val="Compact"/>
              <w:spacing w:after="40"/>
              <w:jc w:val="left"/>
            </w:pPr>
            <w:r>
              <w:rPr>
                <w:b/>
                <w:bCs/>
                <w:sz w:val="22"/>
              </w:rPr>
              <w:t xml:space="preserve">R.E.1.2:</w:t>
            </w:r>
            <w:r>
              <w:rPr>
                <w:sz w:val="22"/>
              </w:rPr>
              <w:t xml:space="preserve"> </w:t>
            </w:r>
            <w:r>
              <w:rPr>
                <w:sz w:val="22"/>
              </w:rPr>
              <w:t xml:space="preserve">Una matriz de análisis comparativo que evalúe las arquitecturas existentes en términos de sus capacidades de automatización, integración continua, monitoreo y trazabilidad documental.</w:t>
            </w:r>
          </w:p>
        </w:tc>
        <w:tc>
          <w:tcPr>
            <w:tcW w:type="dxa" w:w="1961"/>
          </w:tcPr>
          <w:p>
            <w:pPr>
              <w:pStyle w:val="Compact"/>
              <w:spacing w:after="40"/>
              <w:jc w:val="left"/>
            </w:pPr>
            <w:r>
              <w:rPr>
                <w:sz w:val="22"/>
              </w:rPr>
              <w:t xml:space="preserve">Formulario de extracción (incluida en los Anexos).</w:t>
            </w:r>
          </w:p>
        </w:tc>
        <w:tc>
          <w:tcPr>
            <w:tcW w:type="dxa" w:w="3124"/>
          </w:tcPr>
          <w:p>
            <w:pPr>
              <w:pStyle w:val="Compact"/>
              <w:spacing w:after="40"/>
              <w:jc w:val="left"/>
            </w:pPr>
            <w:r>
              <w:rPr>
                <w:sz w:val="22"/>
              </w:rPr>
              <w:t xml:space="preserve">Matriz completada que evalúa el 100% de los estudios seleccionados bajo los criterios metodológicos y tecnológicos de</w:t>
            </w:r>
            <w:r>
              <w:rPr>
                <w:sz w:val="22"/>
              </w:rPr>
              <w:t xml:space="preserve"> </w:t>
            </w:r>
            <w:r>
              <w:rPr>
                <w:i/>
                <w:iCs/>
                <w:sz w:val="22"/>
              </w:rPr>
              <w:t xml:space="preserve">MLOps</w:t>
            </w:r>
          </w:p>
        </w:tc>
      </w:tr>
      <w:tr>
        <w:tc>
          <w:tcPr>
            <w:tcW w:type="dxa" w:w="3929"/>
          </w:tcPr>
          <w:p>
            <w:pPr>
              <w:pStyle w:val="Compact"/>
              <w:spacing w:after="40"/>
              <w:jc w:val="left"/>
            </w:pPr>
            <w:r>
              <w:rPr>
                <w:b/>
                <w:bCs/>
                <w:sz w:val="22"/>
              </w:rPr>
              <w:t xml:space="preserve">R.E.1.3:</w:t>
            </w:r>
            <w:r>
              <w:rPr>
                <w:sz w:val="22"/>
              </w:rPr>
              <w:t xml:space="preserve"> </w:t>
            </w:r>
            <w:r>
              <w:rPr>
                <w:sz w:val="22"/>
              </w:rPr>
              <w:t xml:space="preserve">Un informe de brechas tecnológicas que identifique las limitaciones operativas de las soluciones actuales para fundamentar y justificar el diseño de la nueva propuesta.</w:t>
            </w:r>
          </w:p>
        </w:tc>
        <w:tc>
          <w:tcPr>
            <w:tcW w:type="dxa" w:w="1961"/>
          </w:tcPr>
          <w:p>
            <w:pPr>
              <w:pStyle w:val="Compact"/>
              <w:spacing w:after="40"/>
              <w:jc w:val="left"/>
            </w:pPr>
            <w:r>
              <w:rPr>
                <w:sz w:val="22"/>
              </w:rPr>
              <w:t xml:space="preserve">Sección de</w:t>
            </w:r>
            <w:r>
              <w:rPr>
                <w:sz w:val="22"/>
              </w:rPr>
              <w:t xml:space="preserve"> </w:t>
            </w:r>
            <w:r>
              <w:rPr>
                <w:sz w:val="22"/>
              </w:rPr>
              <w:t xml:space="preserve">“Conclusiones del Estado del Arte”</w:t>
            </w:r>
            <w:r>
              <w:rPr>
                <w:sz w:val="22"/>
              </w:rPr>
              <w:t xml:space="preserve"> </w:t>
            </w:r>
            <w:r>
              <w:rPr>
                <w:sz w:val="22"/>
              </w:rPr>
              <w:t xml:space="preserve">en el informe.</w:t>
            </w:r>
          </w:p>
        </w:tc>
        <w:tc>
          <w:tcPr>
            <w:tcW w:type="dxa" w:w="3124"/>
          </w:tcPr>
          <w:p>
            <w:pPr>
              <w:pStyle w:val="Compact"/>
              <w:spacing w:after="40"/>
              <w:jc w:val="left"/>
            </w:pPr>
            <w:r>
              <w:rPr>
                <w:sz w:val="22"/>
              </w:rPr>
              <w:t xml:space="preserve">Identificación y justificación documentada de al menos tres (3) limitaciones operativas o arquitectónicas en los enfoques actuales.</w:t>
            </w:r>
          </w:p>
        </w:tc>
      </w:tr>
    </w:tbl>
    <w:p>
      <w:pPr>
        <w:pStyle w:val="BodyText"/>
        <w:keepNext w:val="0"/>
        <w:jc w:val="center"/>
      </w:pPr>
      <w:r>
        <w:rPr>
          <w:b/>
          <w:bCs/>
        </w:rPr>
        <w:t xml:space="preserve">Tabla 1.</w:t>
      </w:r>
      <w:r>
        <w:t xml:space="preserve"> </w:t>
      </w:r>
      <w:r>
        <w:t xml:space="preserve">Resultados esperados, medios de verificación e indicadores objetivamente verificables para el objetivo específico 1.</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3138"/>
        <w:gridCol w:w="2092"/>
        <w:gridCol w:w="3782"/>
      </w:tblGrid>
      <w:tr>
        <w:trPr>
          <w:tblHeader w:val="on"/>
          <w:tblHeader w:val="true"/>
        </w:trPr>
        <w:tc>
          <w:tcPr>
            <w:tcW w:type="dxa" w:w="3138"/>
          </w:tcPr>
          <w:p>
            <w:pPr>
              <w:pStyle w:val="Compact"/>
              <w:spacing w:after="40"/>
              <w:jc w:val="left"/>
            </w:pPr>
            <w:r>
              <w:rPr>
                <w:b/>
                <w:sz w:val="22"/>
              </w:rPr>
              <w:t xml:space="preserve">Resultado Esperado</w:t>
            </w:r>
          </w:p>
        </w:tc>
        <w:tc>
          <w:tcPr>
            <w:tcW w:type="dxa" w:w="2093"/>
          </w:tcPr>
          <w:p>
            <w:pPr>
              <w:pStyle w:val="Compact"/>
              <w:spacing w:after="40"/>
              <w:jc w:val="left"/>
            </w:pPr>
            <w:r>
              <w:rPr>
                <w:b/>
                <w:sz w:val="22"/>
              </w:rPr>
              <w:t xml:space="preserve">Medio de verificación</w:t>
            </w:r>
          </w:p>
        </w:tc>
        <w:tc>
          <w:tcPr>
            <w:tcW w:type="dxa" w:w="3783"/>
          </w:tcPr>
          <w:p>
            <w:pPr>
              <w:pStyle w:val="Compact"/>
              <w:spacing w:after="40"/>
              <w:jc w:val="left"/>
            </w:pPr>
            <w:r>
              <w:rPr>
                <w:b/>
                <w:sz w:val="22"/>
              </w:rPr>
              <w:t xml:space="preserve">Indicador objetivamente verificable</w:t>
            </w:r>
          </w:p>
        </w:tc>
      </w:tr>
      <w:tr>
        <w:tc>
          <w:tcPr>
            <w:tcW w:type="dxa" w:w="3138"/>
          </w:tcPr>
          <w:p>
            <w:pPr>
              <w:pStyle w:val="Compact"/>
              <w:spacing w:after="40"/>
              <w:jc w:val="left"/>
            </w:pPr>
            <w:r>
              <w:rPr>
                <w:b/>
                <w:bCs/>
                <w:sz w:val="22"/>
              </w:rPr>
              <w:t xml:space="preserve">R.E.2.1:</w:t>
            </w:r>
            <w:r>
              <w:rPr>
                <w:sz w:val="22"/>
              </w:rPr>
              <w:t xml:space="preserve"> </w:t>
            </w:r>
            <w:r>
              <w:rPr>
                <w:sz w:val="22"/>
              </w:rPr>
              <w:t xml:space="preserve">Un esquema arquitectónico detallado que defina las distintas capas del ciclo de vida del modelo y establezca la ubicación exacta de las compuertas de calidad.</w:t>
            </w:r>
          </w:p>
        </w:tc>
        <w:tc>
          <w:tcPr>
            <w:tcW w:type="dxa" w:w="2093"/>
          </w:tcPr>
          <w:p>
            <w:pPr>
              <w:pStyle w:val="Compact"/>
              <w:spacing w:after="40"/>
              <w:jc w:val="left"/>
            </w:pPr>
            <w:r>
              <w:rPr>
                <w:sz w:val="22"/>
              </w:rPr>
              <w:t xml:space="preserve">Diagramas de contexto, contenedores y componentes basados en el Modelo C4.</w:t>
            </w:r>
          </w:p>
        </w:tc>
        <w:tc>
          <w:tcPr>
            <w:tcW w:type="dxa" w:w="3783"/>
          </w:tcPr>
          <w:p>
            <w:pPr>
              <w:pStyle w:val="Compact"/>
              <w:spacing w:after="40"/>
              <w:jc w:val="left"/>
            </w:pPr>
            <w:r>
              <w:rPr>
                <w:sz w:val="22"/>
              </w:rPr>
              <w:t xml:space="preserve">Presentación de diagramas que identifiquen explícitamente las cuatro (4) zonas del pipeline, la capa de persistencia semántica, el flujo de integración continua y la ubicación estratégica de las compuertas de calidad (QA Gates).</w:t>
            </w:r>
          </w:p>
        </w:tc>
      </w:tr>
      <w:tr>
        <w:tc>
          <w:tcPr>
            <w:tcW w:type="dxa" w:w="3138"/>
          </w:tcPr>
          <w:p>
            <w:pPr>
              <w:pStyle w:val="Compact"/>
              <w:spacing w:after="40"/>
              <w:jc w:val="left"/>
            </w:pPr>
            <w:r>
              <w:rPr>
                <w:b/>
                <w:bCs/>
                <w:sz w:val="22"/>
              </w:rPr>
              <w:t xml:space="preserve">R.E.2.2:</w:t>
            </w:r>
            <w:r>
              <w:rPr>
                <w:sz w:val="22"/>
              </w:rPr>
              <w:t xml:space="preserve"> </w:t>
            </w:r>
            <w:r>
              <w:rPr>
                <w:sz w:val="22"/>
              </w:rPr>
              <w:t xml:space="preserve">Especificación técnica y formulación de reglas, umbrales y aserciones de equidad en las diferentes etapas de la canalización de software.</w:t>
            </w:r>
          </w:p>
        </w:tc>
        <w:tc>
          <w:tcPr>
            <w:tcW w:type="dxa" w:w="2093"/>
          </w:tcPr>
          <w:p>
            <w:pPr>
              <w:pStyle w:val="Compact"/>
              <w:spacing w:after="40"/>
              <w:jc w:val="left"/>
            </w:pPr>
            <w:r>
              <w:rPr>
                <w:sz w:val="22"/>
              </w:rPr>
              <w:t xml:space="preserve">Documento de especificación de diseño técnico y esquema declarativo de los contratos.</w:t>
            </w:r>
          </w:p>
        </w:tc>
        <w:tc>
          <w:tcPr>
            <w:tcW w:type="dxa" w:w="3783"/>
          </w:tcPr>
          <w:p>
            <w:pPr>
              <w:pStyle w:val="Compact"/>
              <w:spacing w:after="40"/>
              <w:jc w:val="left"/>
            </w:pPr>
            <w:r>
              <w:rPr>
                <w:sz w:val="22"/>
              </w:rPr>
              <w:t xml:space="preserve">Formulación matemática explícita de las reglas, aserciones y umbrales tolerables de equidad e integridad de datos para las compuertas de calidad (QA Gates) del pipeline.</w:t>
            </w:r>
          </w:p>
        </w:tc>
      </w:tr>
      <w:tr>
        <w:tc>
          <w:tcPr>
            <w:tcW w:type="dxa" w:w="3138"/>
          </w:tcPr>
          <w:p>
            <w:pPr>
              <w:pStyle w:val="Compact"/>
              <w:spacing w:after="40"/>
              <w:jc w:val="left"/>
            </w:pPr>
            <w:r>
              <w:rPr>
                <w:b/>
                <w:bCs/>
                <w:sz w:val="22"/>
              </w:rPr>
              <w:t xml:space="preserve">R.E.2.3:</w:t>
            </w:r>
            <w:r>
              <w:rPr>
                <w:sz w:val="22"/>
              </w:rPr>
              <w:t xml:space="preserve"> </w:t>
            </w:r>
            <w:r>
              <w:rPr>
                <w:sz w:val="22"/>
              </w:rPr>
              <w:t xml:space="preserve">Modelo conceptual de metadatos de trazabilidad diseñado para estructurar el linaje y las métricas de sesgo.</w:t>
            </w:r>
          </w:p>
        </w:tc>
        <w:tc>
          <w:tcPr>
            <w:tcW w:type="dxa" w:w="2093"/>
          </w:tcPr>
          <w:p>
            <w:pPr>
              <w:pStyle w:val="Compact"/>
              <w:spacing w:after="40"/>
              <w:jc w:val="left"/>
            </w:pPr>
            <w:r>
              <w:rPr>
                <w:sz w:val="22"/>
              </w:rPr>
              <w:t xml:space="preserve">Esquema de la ontología (Turtle) y formas de validación (SHACL).</w:t>
            </w:r>
          </w:p>
        </w:tc>
        <w:tc>
          <w:tcPr>
            <w:tcW w:type="dxa" w:w="3783"/>
          </w:tcPr>
          <w:p>
            <w:pPr>
              <w:pStyle w:val="Compact"/>
              <w:spacing w:after="40"/>
              <w:jc w:val="left"/>
            </w:pPr>
            <w:r>
              <w:rPr>
                <w:sz w:val="22"/>
              </w:rPr>
              <w:t xml:space="preserve">Modelo conceptual estructurado que interconecte las entidades de datos, modelo, métricas de sesgo y resultados de ejecución, validable mediante restricciones formales.</w:t>
            </w:r>
          </w:p>
        </w:tc>
      </w:tr>
    </w:tbl>
    <w:p>
      <w:pPr>
        <w:pStyle w:val="BodyText"/>
        <w:keepNext w:val="0"/>
        <w:jc w:val="center"/>
      </w:pPr>
      <w:r>
        <w:rPr>
          <w:b/>
          <w:bCs/>
        </w:rPr>
        <w:t xml:space="preserve">Tabla 2.</w:t>
      </w:r>
      <w:r>
        <w:t xml:space="preserve"> </w:t>
      </w:r>
      <w:r>
        <w:t xml:space="preserve">Resultados esperados, medios de verificación e indicadores objetivamente verificables para el objetivo específico 2.</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3228"/>
        <w:gridCol w:w="2393"/>
        <w:gridCol w:w="3392"/>
      </w:tblGrid>
      <w:tr>
        <w:trPr>
          <w:tblHeader w:val="on"/>
          <w:tblHeader w:val="true"/>
        </w:trPr>
        <w:tc>
          <w:tcPr>
            <w:tcW w:type="dxa" w:w="3228"/>
          </w:tcPr>
          <w:p>
            <w:pPr>
              <w:pStyle w:val="Compact"/>
              <w:spacing w:after="40"/>
              <w:jc w:val="left"/>
            </w:pPr>
            <w:r>
              <w:rPr>
                <w:b/>
                <w:sz w:val="22"/>
              </w:rPr>
              <w:t xml:space="preserve">Resultado Esperado</w:t>
            </w:r>
          </w:p>
        </w:tc>
        <w:tc>
          <w:tcPr>
            <w:tcW w:type="dxa" w:w="2394"/>
          </w:tcPr>
          <w:p>
            <w:pPr>
              <w:pStyle w:val="Compact"/>
              <w:spacing w:after="40"/>
              <w:jc w:val="left"/>
            </w:pPr>
            <w:r>
              <w:rPr>
                <w:b/>
                <w:sz w:val="22"/>
              </w:rPr>
              <w:t xml:space="preserve">Medio de verificación</w:t>
            </w:r>
          </w:p>
        </w:tc>
        <w:tc>
          <w:tcPr>
            <w:tcW w:type="dxa" w:w="3392"/>
          </w:tcPr>
          <w:p>
            <w:pPr>
              <w:pStyle w:val="Compact"/>
              <w:spacing w:after="40"/>
              <w:jc w:val="left"/>
            </w:pPr>
            <w:r>
              <w:rPr>
                <w:b/>
                <w:sz w:val="22"/>
              </w:rPr>
              <w:t xml:space="preserve">Indicador objetivamente verificable</w:t>
            </w:r>
          </w:p>
        </w:tc>
      </w:tr>
      <w:tr>
        <w:tc>
          <w:tcPr>
            <w:tcW w:type="dxa" w:w="3228"/>
          </w:tcPr>
          <w:p>
            <w:pPr>
              <w:pStyle w:val="Compact"/>
              <w:spacing w:after="40"/>
              <w:jc w:val="left"/>
            </w:pPr>
            <w:r>
              <w:rPr>
                <w:b/>
                <w:bCs/>
                <w:sz w:val="22"/>
              </w:rPr>
              <w:t xml:space="preserve">R.E.3.1:</w:t>
            </w:r>
            <w:r>
              <w:rPr>
                <w:sz w:val="22"/>
              </w:rPr>
              <w:t xml:space="preserve"> </w:t>
            </w:r>
            <w:r>
              <w:rPr>
                <w:sz w:val="22"/>
              </w:rPr>
              <w:t xml:space="preserve">Un entorno de integración continua (</w:t>
            </w:r>
            <w:r>
              <w:rPr>
                <w:i/>
                <w:iCs/>
                <w:sz w:val="22"/>
              </w:rPr>
              <w:t xml:space="preserve">CI</w:t>
            </w:r>
            <w:r>
              <w:rPr>
                <w:sz w:val="22"/>
              </w:rPr>
              <w:t xml:space="preserve">) automatizado y configurado, con versionado de datos y un motor de contratos que ejecute las compuertas de calidad.</w:t>
            </w:r>
          </w:p>
        </w:tc>
        <w:tc>
          <w:tcPr>
            <w:tcW w:type="dxa" w:w="2394"/>
          </w:tcPr>
          <w:p>
            <w:pPr>
              <w:pStyle w:val="Compact"/>
              <w:spacing w:after="40"/>
              <w:jc w:val="left"/>
            </w:pPr>
            <w:r>
              <w:rPr>
                <w:sz w:val="22"/>
              </w:rPr>
              <w:t xml:space="preserve">Repositorio privado de código fuente con pipelines de</w:t>
            </w:r>
            <w:r>
              <w:rPr>
                <w:sz w:val="22"/>
              </w:rPr>
              <w:t xml:space="preserve"> </w:t>
            </w:r>
            <w:r>
              <w:rPr>
                <w:i/>
                <w:iCs/>
                <w:sz w:val="22"/>
              </w:rPr>
              <w:t xml:space="preserve">CI</w:t>
            </w:r>
            <w:r>
              <w:rPr>
                <w:sz w:val="22"/>
              </w:rPr>
              <w:t xml:space="preserve"> </w:t>
            </w:r>
            <w:r>
              <w:rPr>
                <w:sz w:val="22"/>
              </w:rPr>
              <w:t xml:space="preserve">configurados y contratos YAML versionados.</w:t>
            </w:r>
          </w:p>
        </w:tc>
        <w:tc>
          <w:tcPr>
            <w:tcW w:type="dxa" w:w="3392"/>
          </w:tcPr>
          <w:p>
            <w:pPr>
              <w:pStyle w:val="Compact"/>
              <w:spacing w:after="40"/>
              <w:jc w:val="left"/>
            </w:pPr>
            <w:r>
              <w:rPr>
                <w:sz w:val="22"/>
              </w:rPr>
              <w:t xml:space="preserve">Ejecución exitosa y automatizada del pipeline base, en local y en el servidor de integración, sin errores de compilación o empaquetado.</w:t>
            </w:r>
          </w:p>
        </w:tc>
      </w:tr>
      <w:tr>
        <w:tc>
          <w:tcPr>
            <w:tcW w:type="dxa" w:w="3228"/>
          </w:tcPr>
          <w:p>
            <w:pPr>
              <w:pStyle w:val="Compact"/>
              <w:spacing w:after="40"/>
              <w:jc w:val="left"/>
            </w:pPr>
            <w:r>
              <w:rPr>
                <w:b/>
                <w:bCs/>
                <w:sz w:val="22"/>
              </w:rPr>
              <w:t xml:space="preserve">R.E.3.2:</w:t>
            </w:r>
            <w:r>
              <w:rPr>
                <w:sz w:val="22"/>
              </w:rPr>
              <w:t xml:space="preserve"> </w:t>
            </w:r>
            <w:r>
              <w:rPr>
                <w:sz w:val="22"/>
              </w:rPr>
              <w:t xml:space="preserve">Módulos de validación y control de equidad integrados en la canalización con capacidad de interrupción y remediación.</w:t>
            </w:r>
          </w:p>
        </w:tc>
        <w:tc>
          <w:tcPr>
            <w:tcW w:type="dxa" w:w="2394"/>
          </w:tcPr>
          <w:p>
            <w:pPr>
              <w:pStyle w:val="Compact"/>
              <w:spacing w:after="40"/>
              <w:jc w:val="left"/>
            </w:pPr>
            <w:r>
              <w:rPr>
                <w:sz w:val="22"/>
              </w:rPr>
              <w:t xml:space="preserve">Código fuente y bitácora de ejecución de las compuertas de calidad.</w:t>
            </w:r>
          </w:p>
        </w:tc>
        <w:tc>
          <w:tcPr>
            <w:tcW w:type="dxa" w:w="3392"/>
          </w:tcPr>
          <w:p>
            <w:pPr>
              <w:pStyle w:val="Compact"/>
              <w:spacing w:after="40"/>
              <w:jc w:val="left"/>
            </w:pPr>
            <w:r>
              <w:rPr>
                <w:sz w:val="22"/>
              </w:rPr>
              <w:t xml:space="preserve">Interrupción automatizada e inmediata de la canalización (salida con código de error), o remediación registrada, cuando un componente viole los umbrales de equidad establecidos.</w:t>
            </w:r>
          </w:p>
        </w:tc>
      </w:tr>
      <w:tr>
        <w:tc>
          <w:tcPr>
            <w:tcW w:type="dxa" w:w="3228"/>
          </w:tcPr>
          <w:p>
            <w:pPr>
              <w:pStyle w:val="Compact"/>
              <w:spacing w:after="40"/>
              <w:jc w:val="left"/>
            </w:pPr>
            <w:r>
              <w:rPr>
                <w:b/>
                <w:bCs/>
                <w:sz w:val="22"/>
              </w:rPr>
              <w:t xml:space="preserve">R.E.3.3:</w:t>
            </w:r>
            <w:r>
              <w:rPr>
                <w:sz w:val="22"/>
              </w:rPr>
              <w:t xml:space="preserve"> </w:t>
            </w:r>
            <w:r>
              <w:rPr>
                <w:sz w:val="22"/>
              </w:rPr>
              <w:t xml:space="preserve">Servicio de monitoreo continuo de deriva y registro de metadatos de experimentos implementado.</w:t>
            </w:r>
          </w:p>
        </w:tc>
        <w:tc>
          <w:tcPr>
            <w:tcW w:type="dxa" w:w="2394"/>
          </w:tcPr>
          <w:p>
            <w:pPr>
              <w:pStyle w:val="Compact"/>
              <w:spacing w:after="40"/>
              <w:jc w:val="left"/>
            </w:pPr>
            <w:r>
              <w:rPr>
                <w:sz w:val="22"/>
              </w:rPr>
              <w:t xml:space="preserve">Registros de MLflow, bitácoras de ejecución y reportes de monitoreo.</w:t>
            </w:r>
          </w:p>
        </w:tc>
        <w:tc>
          <w:tcPr>
            <w:tcW w:type="dxa" w:w="3392"/>
          </w:tcPr>
          <w:p>
            <w:pPr>
              <w:pStyle w:val="Compact"/>
              <w:spacing w:after="40"/>
              <w:jc w:val="left"/>
            </w:pPr>
            <w:r>
              <w:rPr>
                <w:sz w:val="22"/>
              </w:rPr>
              <w:t xml:space="preserve">Registro automático y persistente de los metadatos de entrenamiento, predicciones por lote, razones de rechazo y alertas de deriva ética generados en el ciclo de vida.</w:t>
            </w:r>
          </w:p>
        </w:tc>
      </w:tr>
    </w:tbl>
    <w:p>
      <w:pPr>
        <w:pStyle w:val="BodyText"/>
        <w:keepNext w:val="0"/>
        <w:jc w:val="center"/>
      </w:pPr>
      <w:r>
        <w:rPr>
          <w:b/>
          <w:bCs/>
        </w:rPr>
        <w:t xml:space="preserve">Tabla 3.</w:t>
      </w:r>
      <w:r>
        <w:t xml:space="preserve"> </w:t>
      </w:r>
      <w:r>
        <w:t xml:space="preserve">Resultados esperados, medios de verificación e indicadores objetivamente verificables para el objetivo específico 3.</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2946"/>
        <w:gridCol w:w="1961"/>
        <w:gridCol w:w="4106"/>
      </w:tblGrid>
      <w:tr>
        <w:trPr>
          <w:tblHeader w:val="on"/>
          <w:tblHeader w:val="true"/>
        </w:trPr>
        <w:tc>
          <w:tcPr>
            <w:tcW w:type="dxa" w:w="2946"/>
          </w:tcPr>
          <w:p>
            <w:pPr>
              <w:pStyle w:val="Compact"/>
              <w:spacing w:after="40"/>
              <w:jc w:val="left"/>
            </w:pPr>
            <w:r>
              <w:rPr>
                <w:b/>
                <w:sz w:val="22"/>
              </w:rPr>
              <w:t xml:space="preserve">Resultado Esperado</w:t>
            </w:r>
          </w:p>
        </w:tc>
        <w:tc>
          <w:tcPr>
            <w:tcW w:type="dxa" w:w="1961"/>
          </w:tcPr>
          <w:p>
            <w:pPr>
              <w:pStyle w:val="Compact"/>
              <w:spacing w:after="40"/>
              <w:jc w:val="left"/>
            </w:pPr>
            <w:r>
              <w:rPr>
                <w:b/>
                <w:sz w:val="22"/>
              </w:rPr>
              <w:t xml:space="preserve">Medio de verificación</w:t>
            </w:r>
          </w:p>
        </w:tc>
        <w:tc>
          <w:tcPr>
            <w:tcW w:type="dxa" w:w="4106"/>
          </w:tcPr>
          <w:p>
            <w:pPr>
              <w:pStyle w:val="Compact"/>
              <w:spacing w:after="40"/>
              <w:jc w:val="left"/>
            </w:pPr>
            <w:r>
              <w:rPr>
                <w:b/>
                <w:sz w:val="22"/>
              </w:rPr>
              <w:t xml:space="preserve">Indicador objetivamente verificable</w:t>
            </w:r>
          </w:p>
        </w:tc>
      </w:tr>
      <w:tr>
        <w:tc>
          <w:tcPr>
            <w:tcW w:type="dxa" w:w="2946"/>
          </w:tcPr>
          <w:p>
            <w:pPr>
              <w:pStyle w:val="Compact"/>
              <w:spacing w:after="40"/>
              <w:jc w:val="left"/>
            </w:pPr>
            <w:r>
              <w:rPr>
                <w:b/>
                <w:bCs/>
                <w:sz w:val="22"/>
              </w:rPr>
              <w:t xml:space="preserve">R.E.4.1:</w:t>
            </w:r>
            <w:r>
              <w:rPr>
                <w:sz w:val="22"/>
              </w:rPr>
              <w:t xml:space="preserve"> </w:t>
            </w:r>
            <w:r>
              <w:rPr>
                <w:sz w:val="22"/>
              </w:rPr>
              <w:t xml:space="preserve">Escenarios de validación experimental mediante la inyección sistemática de sesgos y anomalías de datos en scoring crediticio.</w:t>
            </w:r>
          </w:p>
        </w:tc>
        <w:tc>
          <w:tcPr>
            <w:tcW w:type="dxa" w:w="1961"/>
          </w:tcPr>
          <w:p>
            <w:pPr>
              <w:pStyle w:val="Compact"/>
              <w:spacing w:after="40"/>
              <w:jc w:val="left"/>
            </w:pPr>
            <w:r>
              <w:rPr>
                <w:sz w:val="22"/>
              </w:rPr>
              <w:t xml:space="preserve">Scripts de inyección de distorsiones y conjuntos de datos de prueba.</w:t>
            </w:r>
          </w:p>
        </w:tc>
        <w:tc>
          <w:tcPr>
            <w:tcW w:type="dxa" w:w="4106"/>
          </w:tcPr>
          <w:p>
            <w:pPr>
              <w:pStyle w:val="Compact"/>
              <w:spacing w:after="40"/>
              <w:jc w:val="left"/>
            </w:pPr>
            <w:r>
              <w:rPr>
                <w:sz w:val="22"/>
              </w:rPr>
              <w:t xml:space="preserve">Simulación documentada de al menos cinco (5) escenarios de inyección que apliquen perturbaciones estructurales en los datos, los transformadores, las etiquetas o los lotes de producción, más un (1) escenario de control sin inyección.</w:t>
            </w:r>
          </w:p>
        </w:tc>
      </w:tr>
      <w:tr>
        <w:tc>
          <w:tcPr>
            <w:tcW w:type="dxa" w:w="2946"/>
          </w:tcPr>
          <w:p>
            <w:pPr>
              <w:pStyle w:val="Compact"/>
              <w:spacing w:after="40"/>
              <w:jc w:val="left"/>
            </w:pPr>
            <w:r>
              <w:rPr>
                <w:b/>
                <w:bCs/>
                <w:sz w:val="22"/>
              </w:rPr>
              <w:t xml:space="preserve">R.E.4.2:</w:t>
            </w:r>
            <w:r>
              <w:rPr>
                <w:sz w:val="22"/>
              </w:rPr>
              <w:t xml:space="preserve"> </w:t>
            </w:r>
            <w:r>
              <w:rPr>
                <w:sz w:val="22"/>
              </w:rPr>
              <w:t xml:space="preserve">Resultados cuantitativos comparativos de desempeño de calidad y eficiencia técnica frente a enfoques tradicionales.</w:t>
            </w:r>
          </w:p>
        </w:tc>
        <w:tc>
          <w:tcPr>
            <w:tcW w:type="dxa" w:w="1961"/>
          </w:tcPr>
          <w:p>
            <w:pPr>
              <w:pStyle w:val="Compact"/>
              <w:spacing w:after="40"/>
              <w:jc w:val="left"/>
            </w:pPr>
            <w:r>
              <w:rPr>
                <w:sz w:val="22"/>
              </w:rPr>
              <w:t xml:space="preserve">Tablas y gráficos comparativos de desempeño técnico.</w:t>
            </w:r>
          </w:p>
        </w:tc>
        <w:tc>
          <w:tcPr>
            <w:tcW w:type="dxa" w:w="4106"/>
          </w:tcPr>
          <w:p>
            <w:pPr>
              <w:pStyle w:val="Compact"/>
              <w:spacing w:after="40"/>
              <w:jc w:val="left"/>
            </w:pPr>
            <w:r>
              <w:rPr>
                <w:sz w:val="22"/>
              </w:rPr>
              <w:t xml:space="preserve">Demostración empírica de la mejora en tasa de detección, precisión de localización del sesgo, etapa de detección y tiempo hasta el bloqueo frente al Nivel 0 de MLOps, reportando la tasa de falsos positivos del escenario de control.</w:t>
            </w:r>
          </w:p>
        </w:tc>
      </w:tr>
      <w:tr>
        <w:tc>
          <w:tcPr>
            <w:tcW w:type="dxa" w:w="2946"/>
          </w:tcPr>
          <w:p>
            <w:pPr>
              <w:pStyle w:val="Compact"/>
              <w:spacing w:after="40"/>
              <w:jc w:val="left"/>
            </w:pPr>
            <w:r>
              <w:rPr>
                <w:b/>
                <w:bCs/>
                <w:sz w:val="22"/>
              </w:rPr>
              <w:t xml:space="preserve">R.E.4.3:</w:t>
            </w:r>
            <w:r>
              <w:rPr>
                <w:sz w:val="22"/>
              </w:rPr>
              <w:t xml:space="preserve"> </w:t>
            </w:r>
            <w:r>
              <w:rPr>
                <w:sz w:val="22"/>
              </w:rPr>
              <w:t xml:space="preserve">Informe final de evaluación y reporte de cumplimiento semántico automatizado.</w:t>
            </w:r>
          </w:p>
        </w:tc>
        <w:tc>
          <w:tcPr>
            <w:tcW w:type="dxa" w:w="1961"/>
          </w:tcPr>
          <w:p>
            <w:pPr>
              <w:pStyle w:val="Compact"/>
              <w:spacing w:after="40"/>
              <w:jc w:val="left"/>
            </w:pPr>
            <w:r>
              <w:rPr>
                <w:sz w:val="22"/>
              </w:rPr>
              <w:t xml:space="preserve">Informe técnico de auditoría.</w:t>
            </w:r>
          </w:p>
        </w:tc>
        <w:tc>
          <w:tcPr>
            <w:tcW w:type="dxa" w:w="4106"/>
          </w:tcPr>
          <w:p>
            <w:pPr>
              <w:pStyle w:val="Compact"/>
              <w:spacing w:after="40"/>
              <w:jc w:val="left"/>
            </w:pPr>
            <w:r>
              <w:rPr>
                <w:sz w:val="22"/>
              </w:rPr>
              <w:t xml:space="preserve">Consulta y recuperación exitosa de metadatos en el grafo de conocimiento para responder las preguntas de competencia de la ontología y generar el informe automatizado de cumplimiento normativo.</w:t>
            </w:r>
          </w:p>
        </w:tc>
      </w:tr>
    </w:tbl>
    <w:p>
      <w:pPr>
        <w:pStyle w:val="BodyText"/>
        <w:keepNext w:val="0"/>
        <w:jc w:val="center"/>
      </w:pPr>
      <w:r>
        <w:rPr>
          <w:b/>
          <w:bCs/>
        </w:rPr>
        <w:t xml:space="preserve">Tabla 4.</w:t>
      </w:r>
      <w:r>
        <w:t xml:space="preserve"> </w:t>
      </w:r>
      <w:r>
        <w:t xml:space="preserve">Resultados esperados, medios de verificación e indicadores objetivamente verificables para el objetivo específico 4.</w:t>
      </w:r>
    </w:p>
    <w:bookmarkEnd w:id="22"/>
    <w:bookmarkEnd w:id="23"/>
    <w:bookmarkStart w:id="26" w:name="métodos-y-procedimientos"/>
    <w:p>
      <w:pPr>
        <w:pStyle w:val="Heading2"/>
      </w:pPr>
      <w:r>
        <w:t xml:space="preserve">1.3 Métodos y Procedimientos</w:t>
      </w:r>
    </w:p>
    <w:p>
      <w:pPr>
        <w:pStyle w:val="FirstParagraph"/>
      </w:pPr>
      <w:r>
        <w:t xml:space="preserve">En esta sección se describen los métodos, herramientas y procedimientos que se emplearán para alcanzar los resultados esperados de esta investigación. La elección de cada componente tecnológico y metodológico se fundamenta en las prácticas modernas de la Ingeniería de Software para Inteligencia Artificial y la literatura reciente sobre MLOps y gobernanza algorítmica (Kazmierczak et al., 2024; Russo et al., 2024).</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2001"/>
        <w:gridCol w:w="2330"/>
        <w:gridCol w:w="4682"/>
      </w:tblGrid>
      <w:tr>
        <w:trPr>
          <w:tblHeader w:val="on"/>
          <w:tblHeader w:val="true"/>
        </w:trPr>
        <w:tc>
          <w:tcPr>
            <w:tcW w:type="dxa" w:w="2001"/>
          </w:tcPr>
          <w:p>
            <w:pPr>
              <w:pStyle w:val="Compact"/>
              <w:spacing w:after="40"/>
              <w:jc w:val="left"/>
            </w:pPr>
            <w:r>
              <w:rPr>
                <w:b/>
                <w:sz w:val="22"/>
              </w:rPr>
              <w:t xml:space="preserve">Resultado Esperado</w:t>
            </w:r>
          </w:p>
        </w:tc>
        <w:tc>
          <w:tcPr>
            <w:tcW w:type="dxa" w:w="2330"/>
          </w:tcPr>
          <w:p>
            <w:pPr>
              <w:pStyle w:val="Compact"/>
              <w:spacing w:after="40"/>
              <w:jc w:val="left"/>
            </w:pPr>
            <w:r>
              <w:rPr>
                <w:b/>
                <w:sz w:val="22"/>
              </w:rPr>
              <w:t xml:space="preserve">Herramientas</w:t>
            </w:r>
          </w:p>
        </w:tc>
        <w:tc>
          <w:tcPr>
            <w:tcW w:type="dxa" w:w="4683"/>
          </w:tcPr>
          <w:p>
            <w:pPr>
              <w:pStyle w:val="Compact"/>
              <w:spacing w:after="40"/>
              <w:jc w:val="left"/>
            </w:pPr>
            <w:r>
              <w:rPr>
                <w:b/>
                <w:sz w:val="22"/>
              </w:rPr>
              <w:t xml:space="preserve">Métodos y procedimientos</w:t>
            </w:r>
          </w:p>
        </w:tc>
      </w:tr>
      <w:tr>
        <w:tc>
          <w:tcPr>
            <w:tcW w:type="dxa" w:w="2001"/>
          </w:tcPr>
          <w:p>
            <w:pPr>
              <w:pStyle w:val="Compact"/>
              <w:spacing w:after="40"/>
              <w:jc w:val="left"/>
            </w:pPr>
            <w:r>
              <w:rPr>
                <w:b/>
                <w:bCs/>
                <w:sz w:val="22"/>
              </w:rPr>
              <w:t xml:space="preserve">R.E.1.1 a R.E.1.3</w:t>
            </w:r>
            <w:r>
              <w:rPr>
                <w:sz w:val="22"/>
              </w:rPr>
              <w:t xml:space="preserve"> </w:t>
            </w:r>
            <w:r>
              <w:rPr>
                <w:sz w:val="22"/>
              </w:rPr>
              <w:t xml:space="preserve">(Revisión de literatura, matriz y brechas tecnológicas)</w:t>
            </w:r>
          </w:p>
        </w:tc>
        <w:tc>
          <w:tcPr>
            <w:tcW w:type="dxa" w:w="2330"/>
          </w:tcPr>
          <w:p>
            <w:pPr>
              <w:pStyle w:val="Compact"/>
              <w:spacing w:after="40"/>
              <w:jc w:val="left"/>
            </w:pPr>
            <w:r>
              <w:rPr>
                <w:sz w:val="22"/>
              </w:rPr>
              <w:t xml:space="preserve">- Motores de Búsqueda (</w:t>
            </w:r>
            <w:r>
              <w:rPr>
                <w:i/>
                <w:iCs/>
                <w:sz w:val="22"/>
              </w:rPr>
              <w:t xml:space="preserve">Scopus, IEEE Xplore, Google Scholar</w:t>
            </w:r>
            <w:r>
              <w:rPr>
                <w:sz w:val="22"/>
              </w:rPr>
              <w:t xml:space="preserve">)</w:t>
            </w:r>
            <w:r>
              <w:rPr>
                <w:sz w:val="22"/>
              </w:rPr>
              <w:br/>
            </w:r>
            <w:r>
              <w:rPr>
                <w:sz w:val="22"/>
              </w:rPr>
              <w:t xml:space="preserve">- Zotero</w:t>
            </w:r>
            <w:r>
              <w:rPr>
                <w:sz w:val="22"/>
              </w:rPr>
              <w:br/>
            </w:r>
            <w:r>
              <w:rPr>
                <w:sz w:val="22"/>
              </w:rPr>
              <w:t xml:space="preserve">- Google Sheets</w:t>
            </w:r>
          </w:p>
        </w:tc>
        <w:tc>
          <w:tcPr>
            <w:tcW w:type="dxa" w:w="4683"/>
          </w:tcPr>
          <w:p>
            <w:pPr>
              <w:pStyle w:val="Compact"/>
              <w:spacing w:after="40"/>
              <w:jc w:val="left"/>
            </w:pPr>
            <w:r>
              <w:rPr>
                <w:sz w:val="22"/>
              </w:rPr>
              <w:t xml:space="preserve">- Revisión Sistemática de la Literatura basada en la metodología PICOC y el diagrama de flujo PRISMA.</w:t>
            </w:r>
            <w:r>
              <w:rPr>
                <w:sz w:val="22"/>
              </w:rPr>
              <w:br/>
            </w:r>
            <w:r>
              <w:rPr>
                <w:sz w:val="22"/>
              </w:rPr>
              <w:t xml:space="preserve">- Análisis comparativo de arquitecturas.</w:t>
            </w:r>
          </w:p>
        </w:tc>
      </w:tr>
      <w:tr>
        <w:tc>
          <w:tcPr>
            <w:tcW w:type="dxa" w:w="2001"/>
          </w:tcPr>
          <w:p>
            <w:pPr>
              <w:pStyle w:val="Compact"/>
              <w:spacing w:after="40"/>
              <w:jc w:val="left"/>
            </w:pPr>
            <w:r>
              <w:rPr>
                <w:b/>
                <w:bCs/>
                <w:sz w:val="22"/>
              </w:rPr>
              <w:t xml:space="preserve">R.E.2.1 a R.E.2.3</w:t>
            </w:r>
            <w:r>
              <w:rPr>
                <w:sz w:val="22"/>
              </w:rPr>
              <w:t xml:space="preserve"> </w:t>
            </w:r>
            <w:r>
              <w:rPr>
                <w:sz w:val="22"/>
              </w:rPr>
              <w:t xml:space="preserve">(Esquema arquitectónico, diseño de</w:t>
            </w:r>
            <w:r>
              <w:rPr>
                <w:sz w:val="22"/>
              </w:rPr>
              <w:t xml:space="preserve"> </w:t>
            </w:r>
            <w:r>
              <w:rPr>
                <w:i/>
                <w:iCs/>
                <w:sz w:val="22"/>
              </w:rPr>
              <w:t xml:space="preserve">QA Gates</w:t>
            </w:r>
            <w:r>
              <w:rPr>
                <w:sz w:val="22"/>
              </w:rPr>
              <w:t xml:space="preserve"> </w:t>
            </w:r>
            <w:r>
              <w:rPr>
                <w:sz w:val="22"/>
              </w:rPr>
              <w:t xml:space="preserve">y modelo de trazabilidad semántica)</w:t>
            </w:r>
          </w:p>
        </w:tc>
        <w:tc>
          <w:tcPr>
            <w:tcW w:type="dxa" w:w="2330"/>
          </w:tcPr>
          <w:p>
            <w:pPr>
              <w:pStyle w:val="Compact"/>
              <w:spacing w:after="40"/>
              <w:jc w:val="left"/>
            </w:pPr>
            <w:r>
              <w:rPr>
                <w:sz w:val="22"/>
              </w:rPr>
              <w:t xml:space="preserve">- LucidChart</w:t>
            </w:r>
            <w:r>
              <w:rPr>
                <w:sz w:val="22"/>
              </w:rPr>
              <w:br/>
            </w:r>
            <w:r>
              <w:rPr>
                <w:sz w:val="22"/>
              </w:rPr>
              <w:t xml:space="preserve">- Especificaciones RDF/OWL</w:t>
            </w:r>
            <w:r>
              <w:rPr>
                <w:sz w:val="22"/>
              </w:rPr>
              <w:br/>
            </w:r>
            <w:r>
              <w:rPr>
                <w:sz w:val="22"/>
              </w:rPr>
              <w:t xml:space="preserve">- Vocabularios PROV-O y DQV</w:t>
            </w:r>
            <w:r>
              <w:rPr>
                <w:sz w:val="22"/>
              </w:rPr>
              <w:br/>
            </w:r>
            <w:r>
              <w:rPr>
                <w:sz w:val="22"/>
              </w:rPr>
              <w:t xml:space="preserve">- SHACL</w:t>
            </w:r>
          </w:p>
        </w:tc>
        <w:tc>
          <w:tcPr>
            <w:tcW w:type="dxa" w:w="4683"/>
          </w:tcPr>
          <w:p>
            <w:pPr>
              <w:pStyle w:val="Compact"/>
              <w:spacing w:after="40"/>
              <w:jc w:val="left"/>
            </w:pPr>
            <w:r>
              <w:rPr>
                <w:sz w:val="22"/>
              </w:rPr>
              <w:t xml:space="preserve">- Modelado arquitectónico de software utilizando el estándar del Modelo C4.</w:t>
            </w:r>
            <w:r>
              <w:rPr>
                <w:sz w:val="22"/>
              </w:rPr>
              <w:br/>
            </w:r>
            <w:r>
              <w:rPr>
                <w:sz w:val="22"/>
              </w:rPr>
              <w:t xml:space="preserve">- Diseño lógico-conceptual de Contratos de Equidad modulares (precondiciones y postcondiciones) en un esquema declarativo común.</w:t>
            </w:r>
            <w:r>
              <w:rPr>
                <w:sz w:val="22"/>
              </w:rPr>
              <w:br/>
            </w:r>
            <w:r>
              <w:rPr>
                <w:sz w:val="22"/>
              </w:rPr>
              <w:t xml:space="preserve">- Modelado conceptual de la Ontología de Fairness (Noy &amp; McGuinness, 2001) reutilizando vocabularios del W3C.</w:t>
            </w:r>
          </w:p>
        </w:tc>
      </w:tr>
      <w:tr>
        <w:tc>
          <w:tcPr>
            <w:tcW w:type="dxa" w:w="2001"/>
          </w:tcPr>
          <w:p>
            <w:pPr>
              <w:pStyle w:val="Compact"/>
              <w:spacing w:after="40"/>
              <w:jc w:val="left"/>
            </w:pPr>
            <w:r>
              <w:rPr>
                <w:b/>
                <w:bCs/>
                <w:sz w:val="22"/>
              </w:rPr>
              <w:t xml:space="preserve">R.E.3.1 a R.E.3.3</w:t>
            </w:r>
            <w:r>
              <w:rPr>
                <w:sz w:val="22"/>
              </w:rPr>
              <w:t xml:space="preserve"> </w:t>
            </w:r>
            <w:r>
              <w:rPr>
                <w:sz w:val="22"/>
              </w:rPr>
              <w:t xml:space="preserve">(Entorno</w:t>
            </w:r>
            <w:r>
              <w:rPr>
                <w:sz w:val="22"/>
              </w:rPr>
              <w:t xml:space="preserve"> </w:t>
            </w:r>
            <w:r>
              <w:rPr>
                <w:i/>
                <w:iCs/>
                <w:sz w:val="22"/>
              </w:rPr>
              <w:t xml:space="preserve">CI</w:t>
            </w:r>
            <w:r>
              <w:rPr>
                <w:sz w:val="22"/>
              </w:rPr>
              <w:t xml:space="preserve">, validación de equidad automatizada y monitoreo)</w:t>
            </w:r>
          </w:p>
        </w:tc>
        <w:tc>
          <w:tcPr>
            <w:tcW w:type="dxa" w:w="2330"/>
          </w:tcPr>
          <w:p>
            <w:pPr>
              <w:pStyle w:val="Compact"/>
              <w:spacing w:after="40"/>
              <w:jc w:val="left"/>
            </w:pPr>
            <w:r>
              <w:rPr>
                <w:sz w:val="22"/>
              </w:rPr>
              <w:t xml:space="preserve">- Python (pandas y scikit-learn)</w:t>
            </w:r>
            <w:r>
              <w:rPr>
                <w:sz w:val="22"/>
              </w:rPr>
              <w:br/>
            </w:r>
            <w:r>
              <w:rPr>
                <w:sz w:val="22"/>
              </w:rPr>
              <w:t xml:space="preserve">- Pytest</w:t>
            </w:r>
            <w:r>
              <w:rPr>
                <w:sz w:val="22"/>
              </w:rPr>
              <w:br/>
            </w:r>
            <w:r>
              <w:rPr>
                <w:sz w:val="22"/>
              </w:rPr>
              <w:t xml:space="preserve">- GitHub Actions (CI/CD)</w:t>
            </w:r>
            <w:r>
              <w:rPr>
                <w:sz w:val="22"/>
              </w:rPr>
              <w:br/>
            </w:r>
            <w:r>
              <w:rPr>
                <w:sz w:val="22"/>
              </w:rPr>
              <w:t xml:space="preserve">- MLflow</w:t>
            </w:r>
            <w:r>
              <w:rPr>
                <w:sz w:val="22"/>
              </w:rPr>
              <w:br/>
            </w:r>
            <w:r>
              <w:rPr>
                <w:sz w:val="22"/>
              </w:rPr>
              <w:t xml:space="preserve">- Fairlearn</w:t>
            </w:r>
            <w:r>
              <w:rPr>
                <w:sz w:val="22"/>
              </w:rPr>
              <w:br/>
            </w:r>
            <w:r>
              <w:rPr>
                <w:sz w:val="22"/>
              </w:rPr>
              <w:t xml:space="preserve">- Pandera</w:t>
            </w:r>
            <w:r>
              <w:rPr>
                <w:sz w:val="22"/>
              </w:rPr>
              <w:br/>
            </w:r>
            <w:r>
              <w:rPr>
                <w:sz w:val="22"/>
              </w:rPr>
              <w:t xml:space="preserve">- DVC</w:t>
            </w:r>
            <w:r>
              <w:rPr>
                <w:sz w:val="22"/>
              </w:rPr>
              <w:br/>
            </w:r>
            <w:r>
              <w:rPr>
                <w:sz w:val="22"/>
              </w:rPr>
              <w:t xml:space="preserve">- Evidently AI</w:t>
            </w:r>
            <w:r>
              <w:rPr>
                <w:sz w:val="22"/>
              </w:rPr>
              <w:br/>
            </w:r>
            <w:r>
              <w:rPr>
                <w:sz w:val="22"/>
              </w:rPr>
              <w:t xml:space="preserve">- SHAP</w:t>
            </w:r>
          </w:p>
        </w:tc>
        <w:tc>
          <w:tcPr>
            <w:tcW w:type="dxa" w:w="4683"/>
          </w:tcPr>
          <w:p>
            <w:pPr>
              <w:pStyle w:val="Compact"/>
              <w:spacing w:after="40"/>
              <w:jc w:val="left"/>
            </w:pPr>
            <w:r>
              <w:rPr>
                <w:sz w:val="22"/>
              </w:rPr>
              <w:t xml:space="preserve">- Implementación de canalizaciones MLOps de Nivel 2 (CI/CD/CT) reproducibles en local y en integración continua.</w:t>
            </w:r>
            <w:r>
              <w:rPr>
                <w:sz w:val="22"/>
              </w:rPr>
              <w:br/>
            </w:r>
            <w:r>
              <w:rPr>
                <w:sz w:val="22"/>
              </w:rPr>
              <w:t xml:space="preserve">- Programación de un motor de contratos que ejecuta las compuertas de calidad (</w:t>
            </w:r>
            <w:r>
              <w:rPr>
                <w:i/>
                <w:iCs/>
                <w:sz w:val="22"/>
              </w:rPr>
              <w:t xml:space="preserve">QA Gates</w:t>
            </w:r>
            <w:r>
              <w:rPr>
                <w:sz w:val="22"/>
              </w:rPr>
              <w:t xml:space="preserve">) definidas de forma declarativa (YAML), con capacidad de interrupción (exit 1 en Pytest) y remediación.</w:t>
            </w:r>
            <w:r>
              <w:rPr>
                <w:sz w:val="22"/>
              </w:rPr>
              <w:br/>
            </w:r>
            <w:r>
              <w:rPr>
                <w:sz w:val="22"/>
              </w:rPr>
              <w:t xml:space="preserve">- Instrumentación del registro de linaje, del monitoreo de derivas (</w:t>
            </w:r>
            <w:r>
              <w:rPr>
                <w:i/>
                <w:iCs/>
                <w:sz w:val="22"/>
              </w:rPr>
              <w:t xml:space="preserve">bias drift</w:t>
            </w:r>
            <w:r>
              <w:rPr>
                <w:sz w:val="22"/>
              </w:rPr>
              <w:t xml:space="preserve">) y de la generación de razones de rechazo (SHAP).</w:t>
            </w:r>
          </w:p>
        </w:tc>
      </w:tr>
      <w:tr>
        <w:tc>
          <w:tcPr>
            <w:tcW w:type="dxa" w:w="2001"/>
          </w:tcPr>
          <w:p>
            <w:pPr>
              <w:pStyle w:val="Compact"/>
              <w:spacing w:after="40"/>
              <w:jc w:val="left"/>
            </w:pPr>
            <w:r>
              <w:rPr>
                <w:b/>
                <w:bCs/>
                <w:sz w:val="22"/>
              </w:rPr>
              <w:t xml:space="preserve">R.E.4.1 a R.E.4.3</w:t>
            </w:r>
            <w:r>
              <w:rPr>
                <w:sz w:val="22"/>
              </w:rPr>
              <w:t xml:space="preserve"> </w:t>
            </w:r>
            <w:r>
              <w:rPr>
                <w:sz w:val="22"/>
              </w:rPr>
              <w:t xml:space="preserve">(Escenarios de prueba, resultados comparativos e informe final)</w:t>
            </w:r>
          </w:p>
        </w:tc>
        <w:tc>
          <w:tcPr>
            <w:tcW w:type="dxa" w:w="2330"/>
          </w:tcPr>
          <w:p>
            <w:pPr>
              <w:pStyle w:val="Compact"/>
              <w:spacing w:after="40"/>
              <w:jc w:val="left"/>
            </w:pPr>
            <w:r>
              <w:rPr>
                <w:sz w:val="22"/>
              </w:rPr>
              <w:t xml:space="preserve">- Pytest</w:t>
            </w:r>
            <w:r>
              <w:rPr>
                <w:sz w:val="22"/>
              </w:rPr>
              <w:br/>
            </w:r>
            <w:r>
              <w:rPr>
                <w:sz w:val="22"/>
              </w:rPr>
              <w:t xml:space="preserve">- RDFLib</w:t>
            </w:r>
            <w:r>
              <w:rPr>
                <w:sz w:val="22"/>
              </w:rPr>
              <w:br/>
            </w:r>
            <w:r>
              <w:rPr>
                <w:sz w:val="22"/>
              </w:rPr>
              <w:t xml:space="preserve">- pySHACL</w:t>
            </w:r>
            <w:r>
              <w:rPr>
                <w:sz w:val="22"/>
              </w:rPr>
              <w:br/>
            </w:r>
            <w:r>
              <w:rPr>
                <w:sz w:val="22"/>
              </w:rPr>
              <w:t xml:space="preserve">- Oxigraph (GraphDB opcional)</w:t>
            </w:r>
            <w:r>
              <w:rPr>
                <w:sz w:val="22"/>
              </w:rPr>
              <w:br/>
            </w:r>
            <w:r>
              <w:rPr>
                <w:sz w:val="22"/>
              </w:rPr>
              <w:t xml:space="preserve">- SPARQL</w:t>
            </w:r>
          </w:p>
        </w:tc>
        <w:tc>
          <w:tcPr>
            <w:tcW w:type="dxa" w:w="4683"/>
          </w:tcPr>
          <w:p>
            <w:pPr>
              <w:pStyle w:val="Compact"/>
              <w:spacing w:after="40"/>
              <w:jc w:val="left"/>
            </w:pPr>
            <w:r>
              <w:rPr>
                <w:sz w:val="22"/>
              </w:rPr>
              <w:t xml:space="preserve">- Pruebas de estrés inyectando sesgos y derivas en los datos.</w:t>
            </w:r>
            <w:r>
              <w:rPr>
                <w:sz w:val="22"/>
              </w:rPr>
              <w:br/>
            </w:r>
            <w:r>
              <w:rPr>
                <w:sz w:val="22"/>
              </w:rPr>
              <w:t xml:space="preserve">- Validación experimental frente al Nivel 0 y evaluación de métricas de equidad.</w:t>
            </w:r>
            <w:r>
              <w:rPr>
                <w:sz w:val="22"/>
              </w:rPr>
              <w:br/>
            </w:r>
            <w:r>
              <w:rPr>
                <w:sz w:val="22"/>
              </w:rPr>
              <w:t xml:space="preserve">- Redacción del informe de auditoría.</w:t>
            </w:r>
          </w:p>
        </w:tc>
      </w:tr>
    </w:tbl>
    <w:p>
      <w:pPr>
        <w:pStyle w:val="BodyText"/>
        <w:keepNext w:val="0"/>
        <w:jc w:val="center"/>
      </w:pPr>
      <w:r>
        <w:rPr>
          <w:b/>
          <w:bCs/>
        </w:rPr>
        <w:t xml:space="preserve">Tabla 5.</w:t>
      </w:r>
      <w:r>
        <w:t xml:space="preserve"> </w:t>
      </w:r>
      <w:r>
        <w:t xml:space="preserve">Mapeo de resultados esperados con herramientas, métodos y procedimientos.</w:t>
      </w:r>
    </w:p>
    <w:bookmarkStart w:id="24" w:name="herramientas"/>
    <w:p>
      <w:pPr>
        <w:pStyle w:val="Heading3"/>
      </w:pPr>
      <w:r>
        <w:t xml:space="preserve">1.3.1 Herramientas</w:t>
      </w:r>
    </w:p>
    <w:p>
      <w:pPr>
        <w:pStyle w:val="FirstParagraph"/>
      </w:pPr>
      <w:r>
        <w:t xml:space="preserve">A continuación, se describen y justifican las herramientas, bibliotecas y plataformas seleccionadas para la investigación, en concordancia con los requerimientos técnicos de la arquitectura MLOps, el aseguramiento de la calidad y la gobernanza algorítmica:</w:t>
      </w:r>
    </w:p>
    <w:p>
      <w:pPr>
        <w:pStyle w:val="Compact"/>
        <w:numPr>
          <w:ilvl w:val="0"/>
          <w:numId w:val="1007"/>
        </w:numPr>
      </w:pPr>
      <w:r>
        <w:rPr>
          <w:b/>
          <w:bCs/>
        </w:rPr>
        <w:t xml:space="preserve">Motores de Búsqueda (Scopus, IEEE Xplore, Google Scholar):</w:t>
      </w:r>
      <w:r>
        <w:t xml:space="preserve"> </w:t>
      </w:r>
      <w:r>
        <w:t xml:space="preserve">Se utilizaron como las principales bases de datos para la ejecución de la revisión sistemática de la literatura. Scopus e IEEE Xplore representan los repositorios de mayor impacto en los campos de ingeniería de software y ciencias de la computación, indispensables para la recuperación de estándares técnicos sobre MLOps. Por su parte, Google Scholar sirvió como motor complementario para capturar literatura gris y estudios recientes de alto valor empírico.</w:t>
      </w:r>
    </w:p>
    <w:p>
      <w:pPr>
        <w:pStyle w:val="Compact"/>
        <w:numPr>
          <w:ilvl w:val="0"/>
          <w:numId w:val="1007"/>
        </w:numPr>
      </w:pPr>
      <w:r>
        <w:rPr>
          <w:b/>
          <w:bCs/>
        </w:rPr>
        <w:t xml:space="preserve">Zotero:</w:t>
      </w:r>
      <w:r>
        <w:t xml:space="preserve"> </w:t>
      </w:r>
      <w:r>
        <w:t xml:space="preserve">Gestor bibliográfico de software libre que se empleó durante la fase de recopilación del estado del arte. Su uso permitió almacenar los metadatos de los estudios primarios, organizar las referencias bajo el estándar APA y automatizar la eliminación de documentos duplicados durante la fase de cribado del diagrama PRISMA.</w:t>
      </w:r>
    </w:p>
    <w:p>
      <w:pPr>
        <w:pStyle w:val="Compact"/>
        <w:numPr>
          <w:ilvl w:val="0"/>
          <w:numId w:val="1007"/>
        </w:numPr>
      </w:pPr>
      <w:r>
        <w:rPr>
          <w:b/>
          <w:bCs/>
        </w:rPr>
        <w:t xml:space="preserve">Google Sheets:</w:t>
      </w:r>
      <w:r>
        <w:t xml:space="preserve"> </w:t>
      </w:r>
      <w:r>
        <w:t xml:space="preserve">Herramienta de hojas de cálculo basada en la nube que se utilizó para el diseño y la gestión del formulario de extracción de datos. Facilitó la consolidación del formulario de extracción (Anexo A) de las arquitecturas MLOps, permitiendo organizar las brechas, los enfoques y las métricas de manera colaborativa y estructurada.</w:t>
      </w:r>
    </w:p>
    <w:p>
      <w:pPr>
        <w:pStyle w:val="Compact"/>
        <w:numPr>
          <w:ilvl w:val="0"/>
          <w:numId w:val="1007"/>
        </w:numPr>
      </w:pPr>
      <w:r>
        <w:rPr>
          <w:b/>
          <w:bCs/>
        </w:rPr>
        <w:t xml:space="preserve">Lucidchart:</w:t>
      </w:r>
      <w:r>
        <w:t xml:space="preserve"> </w:t>
      </w:r>
      <w:r>
        <w:t xml:space="preserve">Plataforma de diagramación basada en la web que se empleará para el diseño conceptual y formal de la arquitectura de software. Su uso es esencial para elaborar los esquemas de flujo y los diagramas de componentes, permitiendo comunicar visualmente la ubicación estratégica de las compuertas de calidad dentro del ciclo de vida del</w:t>
      </w:r>
      <w:r>
        <w:t xml:space="preserve"> </w:t>
      </w:r>
      <w:r>
        <w:rPr>
          <w:i/>
          <w:iCs/>
        </w:rPr>
        <w:t xml:space="preserve">Machine Learning</w:t>
      </w:r>
      <w:r>
        <w:t xml:space="preserve">.</w:t>
      </w:r>
    </w:p>
    <w:p>
      <w:pPr>
        <w:pStyle w:val="Compact"/>
        <w:numPr>
          <w:ilvl w:val="0"/>
          <w:numId w:val="1007"/>
        </w:numPr>
      </w:pPr>
      <w:r>
        <w:rPr>
          <w:b/>
          <w:bCs/>
        </w:rPr>
        <w:t xml:space="preserve">Especificaciones RDF, PROV-O, DQV y SHACL:</w:t>
      </w:r>
      <w:r>
        <w:t xml:space="preserve"> </w:t>
      </w:r>
      <w:r>
        <w:t xml:space="preserve">Estándares del World Wide Web Consortium (W3C) para el modelado semántico de la información. RDF proporciona el modelo de tripletas del Grafo de Conocimiento; PROV-O, el vocabulario para describir el linaje de datos, modelos y actividades (Lebo et al., 2013); DQV, el vocabulario para describir mediciones de calidad, que en esta arquitectura representan las métricas de equidad (Albertoni &amp; Isaac, 2016); y SHACL, el lenguaje para validar que cada registro del grafo cumpla las restricciones de la ontología (Knublauch &amp; Kontokostas, 2017).</w:t>
      </w:r>
    </w:p>
    <w:p>
      <w:pPr>
        <w:pStyle w:val="Compact"/>
        <w:numPr>
          <w:ilvl w:val="0"/>
          <w:numId w:val="1007"/>
        </w:numPr>
      </w:pPr>
      <w:r>
        <w:rPr>
          <w:b/>
          <w:bCs/>
        </w:rPr>
        <w:t xml:space="preserve">Python (pandas y scikit-learn):</w:t>
      </w:r>
      <w:r>
        <w:t xml:space="preserve"> </w:t>
      </w:r>
      <w:r>
        <w:t xml:space="preserve">Python será el lenguaje de programación base debido a su predominio y soporte en la ingeniería de IA. Se utilizará la biblioteca pandas para la manipulación y el preprocesamiento de los conjuntos de datos tabulares, mientras que scikit-learn se empleará para la construcción de los</w:t>
      </w:r>
      <w:r>
        <w:t xml:space="preserve"> </w:t>
      </w:r>
      <w:r>
        <w:rPr>
          <w:i/>
          <w:iCs/>
        </w:rPr>
        <w:t xml:space="preserve">pipelines</w:t>
      </w:r>
      <w:r>
        <w:t xml:space="preserve"> </w:t>
      </w:r>
      <w:r>
        <w:t xml:space="preserve">de aprendizaje automático y la implementación de los estimadores y transformadores de datos.</w:t>
      </w:r>
    </w:p>
    <w:p>
      <w:pPr>
        <w:pStyle w:val="Compact"/>
        <w:numPr>
          <w:ilvl w:val="0"/>
          <w:numId w:val="1007"/>
        </w:numPr>
      </w:pPr>
      <w:r>
        <w:rPr>
          <w:b/>
          <w:bCs/>
        </w:rPr>
        <w:t xml:space="preserve">Pandera:</w:t>
      </w:r>
      <w:r>
        <w:t xml:space="preserve"> </w:t>
      </w:r>
      <w:r>
        <w:t xml:space="preserve">Biblioteca de Python para la validación declarativa de datos tabulares basada en esquemas. Permite definir contratos de datos que especifican los tipos, rangos, restricciones y reglas personalizadas que debe cumplir un DataFrame de pandas, y lanza excepciones tipadas cuando alguna columna o valor viola el esquema definido. En esta arquitectura se usa en la Zona 1 como motor de las aserciones de esquema del Contrato C1.</w:t>
      </w:r>
    </w:p>
    <w:p>
      <w:pPr>
        <w:pStyle w:val="Compact"/>
        <w:numPr>
          <w:ilvl w:val="0"/>
          <w:numId w:val="1007"/>
        </w:numPr>
      </w:pPr>
      <w:r>
        <w:rPr>
          <w:b/>
          <w:bCs/>
        </w:rPr>
        <w:t xml:space="preserve">GitHub Actions (CI/CD):</w:t>
      </w:r>
      <w:r>
        <w:t xml:space="preserve"> </w:t>
      </w:r>
      <w:r>
        <w:t xml:space="preserve">Plataforma de automatización que actuará como el motor principal para habilitar las operaciones de Integración y Entrega Continua (CI/CD) sobre un repositorio privado. Permitirá orquestar los flujos de trabajo para ejecutar de manera automática el</w:t>
      </w:r>
      <w:r>
        <w:t xml:space="preserve"> </w:t>
      </w:r>
      <w:r>
        <w:rPr>
          <w:i/>
          <w:iCs/>
        </w:rPr>
        <w:t xml:space="preserve">pipeline</w:t>
      </w:r>
      <w:r>
        <w:t xml:space="preserve"> </w:t>
      </w:r>
      <w:r>
        <w:t xml:space="preserve">de</w:t>
      </w:r>
      <w:r>
        <w:t xml:space="preserve"> </w:t>
      </w:r>
      <w:r>
        <w:rPr>
          <w:i/>
          <w:iCs/>
        </w:rPr>
        <w:t xml:space="preserve">Machine Learning</w:t>
      </w:r>
      <w:r>
        <w:t xml:space="preserve"> </w:t>
      </w:r>
      <w:r>
        <w:t xml:space="preserve">y las compuertas de calidad cada vez que se detecten cambios en el código fuente, en los contratos o en los datos del repositorio.</w:t>
      </w:r>
    </w:p>
    <w:p>
      <w:pPr>
        <w:pStyle w:val="Compact"/>
        <w:numPr>
          <w:ilvl w:val="0"/>
          <w:numId w:val="1007"/>
        </w:numPr>
      </w:pPr>
      <w:r>
        <w:rPr>
          <w:b/>
          <w:bCs/>
        </w:rPr>
        <w:t xml:space="preserve">DVC (Data Version Control):</w:t>
      </w:r>
      <w:r>
        <w:t xml:space="preserve"> </w:t>
      </w:r>
      <w:r>
        <w:t xml:space="preserve">Herramienta de código abierto diseñada para el versionado y la gestión de datos y modelos en proyectos de aprendizaje automático, funcionando como una extensión de Git para artefactos de gran tamaño. En la arquitectura se integrará en la Zona 1, con un almacenamiento remoto privado, para versionar cada lote de datos mediante un identificador</w:t>
      </w:r>
      <w:r>
        <w:t xml:space="preserve"> </w:t>
      </w:r>
      <w:r>
        <w:rPr>
          <w:i/>
          <w:iCs/>
        </w:rPr>
        <w:t xml:space="preserve">hash</w:t>
      </w:r>
      <w:r>
        <w:t xml:space="preserve"> </w:t>
      </w:r>
      <w:r>
        <w:t xml:space="preserve">reproducible. Esto garantiza que cada ejecución del</w:t>
      </w:r>
      <w:r>
        <w:t xml:space="preserve"> </w:t>
      </w:r>
      <w:r>
        <w:rPr>
          <w:i/>
          <w:iCs/>
        </w:rPr>
        <w:t xml:space="preserve">pipeline</w:t>
      </w:r>
      <w:r>
        <w:t xml:space="preserve"> </w:t>
      </w:r>
      <w:r>
        <w:t xml:space="preserve">pueda vincularse a una versión exacta del</w:t>
      </w:r>
      <w:r>
        <w:t xml:space="preserve"> </w:t>
      </w:r>
      <w:r>
        <w:rPr>
          <w:i/>
          <w:iCs/>
        </w:rPr>
        <w:t xml:space="preserve">dataset</w:t>
      </w:r>
      <w:r>
        <w:t xml:space="preserve"> </w:t>
      </w:r>
      <w:r>
        <w:t xml:space="preserve">de entrada, proporcionando el linaje de datos necesario para el Grafo de Conocimiento de la Zona 4.</w:t>
      </w:r>
    </w:p>
    <w:p>
      <w:pPr>
        <w:pStyle w:val="Compact"/>
        <w:numPr>
          <w:ilvl w:val="0"/>
          <w:numId w:val="1007"/>
        </w:numPr>
      </w:pPr>
      <w:r>
        <w:rPr>
          <w:b/>
          <w:bCs/>
        </w:rPr>
        <w:t xml:space="preserve">Evidently AI:</w:t>
      </w:r>
      <w:r>
        <w:t xml:space="preserve"> </w:t>
      </w:r>
      <w:r>
        <w:t xml:space="preserve">Biblioteca de código abierto orientada al monitoreo y la evaluación de modelos de aprendizaje automático. En la arquitectura se empleará en la Zona 3 como motor de detección de deriva de datos (</w:t>
      </w:r>
      <w:r>
        <w:rPr>
          <w:i/>
          <w:iCs/>
        </w:rPr>
        <w:t xml:space="preserve">data drift</w:t>
      </w:r>
      <w:r>
        <w:t xml:space="preserve">), comparando la distribución de cada lote de producción con la de entrenamiento. La deriva del sesgo (</w:t>
      </w:r>
      <w:r>
        <w:rPr>
          <w:i/>
          <w:iCs/>
        </w:rPr>
        <w:t xml:space="preserve">bias drift</w:t>
      </w:r>
      <w:r>
        <w:t xml:space="preserve">) se evalúa con el Contrato C4, que recalcula las métricas de equidad sobre cada lote.</w:t>
      </w:r>
    </w:p>
    <w:p>
      <w:pPr>
        <w:pStyle w:val="Compact"/>
        <w:numPr>
          <w:ilvl w:val="0"/>
          <w:numId w:val="1007"/>
        </w:numPr>
      </w:pPr>
      <w:r>
        <w:rPr>
          <w:b/>
          <w:bCs/>
        </w:rPr>
        <w:t xml:space="preserve">MLflow:</w:t>
      </w:r>
      <w:r>
        <w:t xml:space="preserve"> </w:t>
      </w:r>
      <w:r>
        <w:t xml:space="preserve">Plataforma de código abierto para la gestión del ciclo de vida del aprendizaje automático, orientada al registro de experimentos, la reproducibilidad y el despliegue de modelos (Zaharia et al., 2018). En la arquitectura actúa como el canal de linaje: registra los parámetros, el</w:t>
      </w:r>
      <w:r>
        <w:t xml:space="preserve"> </w:t>
      </w:r>
      <w:r>
        <w:rPr>
          <w:i/>
          <w:iCs/>
        </w:rPr>
        <w:t xml:space="preserve">hash</w:t>
      </w:r>
      <w:r>
        <w:t xml:space="preserve"> </w:t>
      </w:r>
      <w:r>
        <w:t xml:space="preserve">de cada lote, cada ejecución de compuerta con sus métricas e intervalos de confianza, los modelos base y remediados, las razones de rechazo y las alertas de deriva.</w:t>
      </w:r>
    </w:p>
    <w:p>
      <w:pPr>
        <w:pStyle w:val="Compact"/>
        <w:numPr>
          <w:ilvl w:val="0"/>
          <w:numId w:val="1007"/>
        </w:numPr>
      </w:pPr>
      <w:r>
        <w:rPr>
          <w:b/>
          <w:bCs/>
        </w:rPr>
        <w:t xml:space="preserve">Fairlearn:</w:t>
      </w:r>
      <w:r>
        <w:t xml:space="preserve"> </w:t>
      </w:r>
      <w:r>
        <w:t xml:space="preserve">Proyecto de código abierto para evaluar y mejorar la equidad de sistemas de IA, cuya biblioteca de Python permite evaluar el comportamiento de un modelo entre poblaciones afectadas e incluye algoritmos de mitigación (Weerts et al., 2023). Proveerá el cálculo de las métricas de equidad por grupo (paridad demográfica, igualdad de oportunidades, impacto dispar) y el post-procesamiento</w:t>
      </w:r>
      <w:r>
        <w:t xml:space="preserve"> </w:t>
      </w:r>
      <w:r>
        <w:rPr>
          <w:rStyle w:val="VerbatimChar"/>
        </w:rPr>
        <w:t xml:space="preserve">ThresholdOptimizer</w:t>
      </w:r>
      <w:r>
        <w:t xml:space="preserve"> </w:t>
      </w:r>
      <w:r>
        <w:t xml:space="preserve">empleado en la remediación del Contrato C3 (Hardt et al., 2016).</w:t>
      </w:r>
    </w:p>
    <w:p>
      <w:pPr>
        <w:pStyle w:val="Compact"/>
        <w:numPr>
          <w:ilvl w:val="0"/>
          <w:numId w:val="1007"/>
        </w:numPr>
      </w:pPr>
      <w:r>
        <w:rPr>
          <w:b/>
          <w:bCs/>
        </w:rPr>
        <w:t xml:space="preserve">RDFLib:</w:t>
      </w:r>
      <w:r>
        <w:t xml:space="preserve"> </w:t>
      </w:r>
      <w:r>
        <w:t xml:space="preserve">Biblioteca nativa de Python para la creación, manipulación y serialización de datos en formato RDF. En la arquitectura actúa como el puente entre el</w:t>
      </w:r>
      <w:r>
        <w:t xml:space="preserve"> </w:t>
      </w:r>
      <w:r>
        <w:rPr>
          <w:i/>
          <w:iCs/>
        </w:rPr>
        <w:t xml:space="preserve">pipeline</w:t>
      </w:r>
      <w:r>
        <w:t xml:space="preserve"> </w:t>
      </w:r>
      <w:r>
        <w:t xml:space="preserve">de MLOps y el Grafo de Conocimiento de la Zona 4: transforma los metadatos registrados en MLflow en tripletas conformes a la Ontología de Fairness.</w:t>
      </w:r>
    </w:p>
    <w:p>
      <w:pPr>
        <w:pStyle w:val="Compact"/>
        <w:numPr>
          <w:ilvl w:val="0"/>
          <w:numId w:val="1007"/>
        </w:numPr>
      </w:pPr>
      <w:r>
        <w:rPr>
          <w:b/>
          <w:bCs/>
        </w:rPr>
        <w:t xml:space="preserve">pySHACL y Oxigraph:</w:t>
      </w:r>
      <w:r>
        <w:t xml:space="preserve"> </w:t>
      </w:r>
      <w:r>
        <w:t xml:space="preserve">pySHACL valida el grafo exportado contra las formas SHACL de la ontología antes de incorporarlo al repositorio. Oxigraph (o el almacén en memoria de RDFLib) actúa como repositorio RDF local con soporte de consultas SPARQL; GraphDB se mantiene como alternativa opcional para la exploración visual del grafo.</w:t>
      </w:r>
    </w:p>
    <w:p>
      <w:pPr>
        <w:pStyle w:val="Compact"/>
        <w:numPr>
          <w:ilvl w:val="0"/>
          <w:numId w:val="1007"/>
        </w:numPr>
      </w:pPr>
      <w:r>
        <w:rPr>
          <w:b/>
          <w:bCs/>
        </w:rPr>
        <w:t xml:space="preserve">SHAP (SHapley Additive exPlanations):</w:t>
      </w:r>
      <w:r>
        <w:t xml:space="preserve"> </w:t>
      </w:r>
      <w:r>
        <w:t xml:space="preserve">Biblioteca de Python basada en la teoría de valores de Shapley, que permite calcular la contribución individual de cada característica de entrada a la predicción de un modelo. En la arquitectura se utilizará en la Zona 3 para generar, para cada solicitante rechazado, las razones específicas del rechazo a partir de las características con mayor contribución negativa, en línea con la obligación de comunicar dichas razones establecida por la ECOA (ECOA, 1974).</w:t>
      </w:r>
    </w:p>
    <w:p>
      <w:pPr>
        <w:pStyle w:val="Compact"/>
        <w:numPr>
          <w:ilvl w:val="0"/>
          <w:numId w:val="1007"/>
        </w:numPr>
      </w:pPr>
      <w:r>
        <w:rPr>
          <w:b/>
          <w:bCs/>
        </w:rPr>
        <w:t xml:space="preserve">Pytest:</w:t>
      </w:r>
      <w:r>
        <w:t xml:space="preserve"> </w:t>
      </w:r>
      <w:r>
        <w:t xml:space="preserve">Framework de pruebas para Python. El motor de contratos generará con Pytest una prueba por cada regla y atributo protegido definidos en los contratos YAML. Al integrarse con GitHub Actions, Pytest será responsable de evaluar las condiciones de equidad en tiempo de compilación e interrumpir el despliegue del modelo si los sesgos superan los umbrales tolerados.</w:t>
      </w:r>
    </w:p>
    <w:bookmarkEnd w:id="24"/>
    <w:bookmarkStart w:id="25" w:name="metodologías-y-procedimientos"/>
    <w:p>
      <w:pPr>
        <w:pStyle w:val="Heading3"/>
      </w:pPr>
      <w:r>
        <w:t xml:space="preserve">1.3.2 Metodologías y Procedimientos</w:t>
      </w:r>
    </w:p>
    <w:p>
      <w:pPr>
        <w:pStyle w:val="FirstParagraph"/>
      </w:pPr>
      <w:r>
        <w:t xml:space="preserve">Para desarrollar, implementar y evaluar la arquitectura MLOps propuesta, se emplea una metodología de investigación aplicada y diseño de software, estructurada de manera secuencial a lo largo de las siguientes cinco (5) fases operativas:</w:t>
      </w:r>
    </w:p>
    <w:p>
      <w:pPr>
        <w:pStyle w:val="Compact"/>
        <w:numPr>
          <w:ilvl w:val="0"/>
          <w:numId w:val="1008"/>
        </w:numPr>
      </w:pPr>
      <w:r>
        <w:rPr>
          <w:b/>
          <w:bCs/>
        </w:rPr>
        <w:t xml:space="preserve">Fase 1: Revisión Sistemática de la Literatura (O1):</w:t>
      </w:r>
      <w:r>
        <w:t xml:space="preserve"> </w:t>
      </w:r>
      <w:r>
        <w:t xml:space="preserve">El Estado del Arte de esta investigación se construirá aplicando de manera rigurosa la estrategia de búsqueda PICOC y el diagrama de flujo PRISMA, garantizando un proceso estructurado, transparente y reproducible para la selección de la literatura primaria. Esta fase permitirá identificar y fundamentar las brechas operativas en la automatización de controles de equidad dentro de la industria de tecnología financiera (Fintech).</w:t>
      </w:r>
    </w:p>
    <w:p>
      <w:pPr>
        <w:pStyle w:val="Compact"/>
        <w:numPr>
          <w:ilvl w:val="0"/>
          <w:numId w:val="1008"/>
        </w:numPr>
      </w:pPr>
      <w:r>
        <w:rPr>
          <w:b/>
          <w:bCs/>
        </w:rPr>
        <w:t xml:space="preserve">Fase 2: Diseño Arquitectónico y Formulación de Contratos (O2):</w:t>
      </w:r>
      <w:r>
        <w:t xml:space="preserve"> </w:t>
      </w:r>
      <w:r>
        <w:t xml:space="preserve">Consiste en el diseño formal de la solución. Primero, se modelará la arquitectura modular en cuatro zonas operativas utilizando el Modelo C4 (Contexto, Contenedores y Componentes). Segundo, se aplicará el paradigma de Diseño por Contrato (DbC) para formular de forma matemática las precondiciones, postcondiciones e invariantes (Contratos C1 a C4, expresados en un esquema YAML común) correspondientes a las cuatro compuertas de calidad (</w:t>
      </w:r>
      <w:r>
        <w:rPr>
          <w:i/>
          <w:iCs/>
        </w:rPr>
        <w:t xml:space="preserve">QA Gates</w:t>
      </w:r>
      <w:r>
        <w:t xml:space="preserve">) (Nguyen, 2024). Tercero, se diseñará la Ontología de Fairness aplicando la metodología de ingeniería ontológica de Noy y McGuinness (2001), reutilizando los vocabularios PROV-O y DQV para conectar lógicamente los lotes de datos, los contratos, las métricas de equidad y los modelos (Russo et al., 2024).</w:t>
      </w:r>
    </w:p>
    <w:p>
      <w:pPr>
        <w:pStyle w:val="Compact"/>
        <w:numPr>
          <w:ilvl w:val="0"/>
          <w:numId w:val="1008"/>
        </w:numPr>
      </w:pPr>
      <w:r>
        <w:rPr>
          <w:b/>
          <w:bCs/>
        </w:rPr>
        <w:t xml:space="preserve">Fase 3: Desarrollo e Implementación del Prototipo MLOps (O3):</w:t>
      </w:r>
      <w:r>
        <w:t xml:space="preserve"> </w:t>
      </w:r>
      <w:r>
        <w:t xml:space="preserve">Involucra la materialización técnica del diseño. Se construirá la canalización automatizada en Python, entrenando un clasificador supervisado base (regresión logística). Se implementará el motor de contratos, se integrará DVC para el versionado de los datos, MLflow para el registro del linaje y Pytest para la interrupción automática y la remediación ante fallos en los contratos.</w:t>
      </w:r>
    </w:p>
    <w:p>
      <w:pPr>
        <w:pStyle w:val="Compact"/>
        <w:numPr>
          <w:ilvl w:val="0"/>
          <w:numId w:val="1008"/>
        </w:numPr>
      </w:pPr>
      <w:r>
        <w:rPr>
          <w:b/>
          <w:bCs/>
        </w:rPr>
        <w:t xml:space="preserve">Fase 4: Trazabilidad Semántica (O3, continuación):</w:t>
      </w:r>
      <w:r>
        <w:t xml:space="preserve"> </w:t>
      </w:r>
      <w:r>
        <w:t xml:space="preserve">Consiste en programar el exportador que transforma los registros de MLflow (ejecuciones de las compuertas, métricas, modelos y razones de rechazo) en tripletas RDF mediante RDFLib, validarlas con SHACL y persistirlas en un repositorio RDF local, garantizando el linaje de datos de extremo a extremo (Russo &amp; Vidal, 2025).</w:t>
      </w:r>
    </w:p>
    <w:p>
      <w:pPr>
        <w:pStyle w:val="Compact"/>
        <w:numPr>
          <w:ilvl w:val="0"/>
          <w:numId w:val="1008"/>
        </w:numPr>
      </w:pPr>
      <w:r>
        <w:rPr>
          <w:b/>
          <w:bCs/>
        </w:rPr>
        <w:t xml:space="preserve">Fase 5: Validación Experimental mediante Pruebas de Estrés (O4):</w:t>
      </w:r>
      <w:r>
        <w:t xml:space="preserve"> </w:t>
      </w:r>
      <w:r>
        <w:t xml:space="preserve">Representa la fase de validación científica del software. Se simularán escenarios controlados de subrepresentación, sesgo por proxy en los transformadores, sesgo en las etiquetas y deriva en los lotes de producción, además de un escenario de control sin inyección, sobre el conjunto de datos principal; y se evaluará la deriva real entre años con el conjunto de datos secundario (Zhu et al., 2025). Se medirá la tasa de detección, la precisión de localización, la etapa de detección, el tiempo hasta el bloqueo y la tasa de falsos positivos frente a una auditoría única del modelo final (Nivel 0 de MLOps). Se verificará que el Auditor pueda generar reportes PDF de cumplimiento automáticos ejecutando consultas SPARQL sobre el grafo de conocimiento.</w:t>
      </w:r>
    </w:p>
    <w:bookmarkEnd w:id="25"/>
    <w:bookmarkEnd w:id="26"/>
    <w:bookmarkEnd w:id="27"/>
    <w:bookmarkStart w:id="45" w:name="X15500ef9bbafdb3a38de66f3474679316478706"/>
    <w:p>
      <w:pPr>
        <w:pStyle w:val="Heading1"/>
      </w:pPr>
      <w:r>
        <w:t xml:space="preserve">Capítulo 2. Marco Conceptual, Teórico y Legal</w:t>
      </w:r>
    </w:p>
    <w:p>
      <w:pPr>
        <w:pStyle w:val="FirstParagraph"/>
      </w:pPr>
      <w:r>
        <w:t xml:space="preserve">En este capítulo se desarrollan las bases conceptuales, teóricas y normativas que fundamentan científicamente la presente investigación. Para evitar una presentación aislada de términos, la estructura sigue un hilo conductor narrativo: el</w:t>
      </w:r>
      <w:r>
        <w:t xml:space="preserve"> </w:t>
      </w:r>
      <w:r>
        <w:rPr>
          <w:b/>
          <w:bCs/>
        </w:rPr>
        <w:t xml:space="preserve">Marco Conceptual</w:t>
      </w:r>
      <w:r>
        <w:t xml:space="preserve"> </w:t>
      </w:r>
      <w:r>
        <w:t xml:space="preserve">caracteriza la naturaleza matemática y estadística de la equidad y del sesgo; el</w:t>
      </w:r>
      <w:r>
        <w:t xml:space="preserve"> </w:t>
      </w:r>
      <w:r>
        <w:rPr>
          <w:b/>
          <w:bCs/>
        </w:rPr>
        <w:t xml:space="preserve">Marco Teórico</w:t>
      </w:r>
      <w:r>
        <w:t xml:space="preserve"> </w:t>
      </w:r>
      <w:r>
        <w:t xml:space="preserve">describe las metodologías y herramientas de ingeniería de software necesarias para automatizar y documentar de manera proactiva dicho aseguramiento de calidad; y el</w:t>
      </w:r>
      <w:r>
        <w:t xml:space="preserve"> </w:t>
      </w:r>
      <w:r>
        <w:rPr>
          <w:b/>
          <w:bCs/>
        </w:rPr>
        <w:t xml:space="preserve">Marco Legal</w:t>
      </w:r>
      <w:r>
        <w:t xml:space="preserve"> </w:t>
      </w:r>
      <w:r>
        <w:t xml:space="preserve">detalla la justificación regulatoria global que impone la obligatoriedad de implementar estos controles técnicos en sistemas de alto riesgo.</w:t>
      </w:r>
    </w:p>
    <w:bookmarkStart w:id="35" w:name="marco-conceptual"/>
    <w:p>
      <w:pPr>
        <w:pStyle w:val="Heading2"/>
      </w:pPr>
      <w:r>
        <w:t xml:space="preserve">2.1 Marco Conceptual</w:t>
      </w:r>
    </w:p>
    <w:p>
      <w:pPr>
        <w:pStyle w:val="FirstParagraph"/>
      </w:pPr>
      <w:r>
        <w:t xml:space="preserve">Esta sección aborda de manera rigurosa la naturaleza empírica y formal de los sesgos algorítmicos, la formulación matemática de las métricas de equidad que serán evaluadas programáticamente, y los fenómenos de degradación de modelos en producción.</w:t>
      </w:r>
    </w:p>
    <w:bookmarkStart w:id="28" w:name="X8a254c84831b91e311c0139bd6d811acbfcdbfd"/>
    <w:p>
      <w:pPr>
        <w:pStyle w:val="Heading3"/>
      </w:pPr>
      <w:r>
        <w:t xml:space="preserve">2.1.1 El Scoring Crediticio en la Gestión del Riesgo de Crédito</w:t>
      </w:r>
    </w:p>
    <w:p>
      <w:pPr>
        <w:pStyle w:val="FirstParagraph"/>
      </w:pPr>
      <w:r>
        <w:t xml:space="preserve">En el sector de la tecnología financiera (</w:t>
      </w:r>
      <w:r>
        <w:rPr>
          <w:i/>
          <w:iCs/>
        </w:rPr>
        <w:t xml:space="preserve">Fintech</w:t>
      </w:r>
      <w:r>
        <w:t xml:space="preserve">) y la banca global, el Scoring Crediticio representa el núcleo analítico y el pilar fundamental para la cuantificación y gestión de los riesgos financieros (MathWorks, s.f.; Stoyanovich et al., 2022). Este proceso se define formalmente como un enfoque metodológico cuantitativo diseñado para estimar la probabilidad de que un solicitante o prestatario incumpla con sus obligaciones contractuales de pago (es decir, caiga en</w:t>
      </w:r>
      <w:r>
        <w:t xml:space="preserve"> </w:t>
      </w:r>
      <w:r>
        <w:rPr>
          <w:i/>
          <w:iCs/>
        </w:rPr>
        <w:t xml:space="preserve">default</w:t>
      </w:r>
      <w:r>
        <w:t xml:space="preserve">) (MathWorks, s.f.). En su propuesta de actualización de los principios para la gestión del riesgo de crédito, el Comité de Basilea sobre Supervisión Bancaria (Basel Committee on Banking Supervision) mantiene como áreas centrales un entorno adecuado de riesgo de crédito, un proceso sólido de otorgamiento, una administración, medición y monitoreo apropiados del crédito, y controles adecuados sobre el riesgo de crédito (BCBS, 2025).</w:t>
      </w:r>
    </w:p>
    <w:p>
      <w:pPr>
        <w:pStyle w:val="BodyText"/>
      </w:pPr>
      <w:r>
        <w:t xml:space="preserve">De acuerdo con los estándares regulatorios internacionales de capital y provisiones, tales como Basilea III y las Normas Internacionales de Información Financiera (IFRS 9 / CECL), la medición de las pérdidas proyectadas de una cartera de crédito se fundamenta en el cálculo de la Pérdida Esperada (Expected Credit Loss - ECL). En su forma paramétrica más difundida, este cálculo se expresa como el producto de tres componentes de riesgo:</w:t>
      </w:r>
      <w:r>
        <w:t xml:space="preserve"> </w:t>
      </w:r>
      <m:oMath>
        <m:r>
          <m:t>E</m:t>
        </m:r>
        <m:r>
          <m:t>C</m:t>
        </m:r>
        <m:r>
          <m:t>L</m:t>
        </m:r>
        <m:r>
          <m:rPr>
            <m:sty m:val="p"/>
          </m:rPr>
          <m:t>=</m:t>
        </m:r>
        <m:r>
          <m:t>P</m:t>
        </m:r>
        <m:r>
          <m:t>D</m:t>
        </m:r>
        <m:r>
          <m:rPr>
            <m:sty m:val="p"/>
          </m:rPr>
          <m:t>×</m:t>
        </m:r>
        <m:r>
          <m:t>L</m:t>
        </m:r>
        <m:r>
          <m:t>G</m:t>
        </m:r>
        <m:r>
          <m:t>D</m:t>
        </m:r>
        <m:r>
          <m:rPr>
            <m:sty m:val="p"/>
          </m:rPr>
          <m:t>×</m:t>
        </m:r>
        <m:r>
          <m:t>E</m:t>
        </m:r>
        <m:r>
          <m:t>A</m:t>
        </m:r>
        <m:r>
          <m:t>D</m:t>
        </m:r>
      </m:oMath>
      <w:r>
        <w:t xml:space="preserve"> </w:t>
      </w:r>
      <w:r>
        <w:rPr>
          <w:rStyle w:val="Pendiente"/>
        </w:rPr>
        <w:t xml:space="preserve">PENDIENTE:agregar una fuente regulatoria verificada para esta fórmula (p. ej., Basel Framework, capítulo CRE35). MathWorks (s.f.) define PD, LGD y EAD pero no presenta la fórmula.</w:t>
      </w:r>
      <w:r>
        <w:t xml:space="preserve"> </w:t>
      </w:r>
      <w:r>
        <w:t xml:space="preserve">Donde:</w:t>
      </w:r>
    </w:p>
    <w:p>
      <w:pPr>
        <w:pStyle w:val="Compact"/>
        <w:numPr>
          <w:ilvl w:val="0"/>
          <w:numId w:val="1009"/>
        </w:numPr>
      </w:pPr>
      <w:r>
        <w:rPr>
          <w:b/>
          <w:bCs/>
        </w:rPr>
        <w:t xml:space="preserve">Probabilidad de Default (Probability of Default - PD)</w:t>
      </w:r>
      <w:r>
        <w:t xml:space="preserve">: Es la medida probabilística que cuantifica la probabilidad de que un deudor incumpla con sus pagos en un horizonte temporal determinado (típicamente 12 meses o a lo largo del ciclo de vida útil del préstamo) (MathWorks, s.f.).</w:t>
      </w:r>
    </w:p>
    <w:p>
      <w:pPr>
        <w:pStyle w:val="Compact"/>
        <w:numPr>
          <w:ilvl w:val="0"/>
          <w:numId w:val="1009"/>
        </w:numPr>
      </w:pPr>
      <w:r>
        <w:rPr>
          <w:b/>
          <w:bCs/>
        </w:rPr>
        <w:t xml:space="preserve">Pérdida en Caso de Default (Loss Given Default - LGD)</w:t>
      </w:r>
      <w:r>
        <w:t xml:space="preserve">: Estima el porcentaje de la exposición que verdaderamente se perderá en caso de que ocurra el incumplimiento, neto de los procesos de recuperación o de ejecución de garantías colaterales (MathWorks, s.f.).</w:t>
      </w:r>
    </w:p>
    <w:p>
      <w:pPr>
        <w:pStyle w:val="Compact"/>
        <w:numPr>
          <w:ilvl w:val="0"/>
          <w:numId w:val="1009"/>
        </w:numPr>
      </w:pPr>
      <w:r>
        <w:rPr>
          <w:b/>
          <w:bCs/>
        </w:rPr>
        <w:t xml:space="preserve">Exposición al Momento del Default (Exposure at Default - EAD)</w:t>
      </w:r>
      <w:r>
        <w:t xml:space="preserve">: Representa el monto total de deuda pendiente que el cliente tiene con la entidad financiera al instante exacto del incumplimiento (MathWorks, s.f.).</w:t>
      </w:r>
    </w:p>
    <w:p>
      <w:pPr>
        <w:pStyle w:val="FirstParagraph"/>
      </w:pPr>
      <w:r>
        <w:t xml:space="preserve">En esta tesis, el scoring crediticio se modela formalmente como una tarea de clasificación binaria supervisada (MathWorks, s.f.). Sea X un vector multidimensional que representa las características financieras, transaccionales, de comportamiento e incluso variables alternativas (como metadatos demográficos o transaccionales) de un solicitante de crédito (MathWorks, s.f.). El objetivo del algoritmo es aproximar una función predictiva h(X) que mapee estas características a una etiqueta de salida Y ε {0, 1}, donde Y=1 denota que el solicitante será solvente (comportamiento crediticio favorable/buen pagador) e Y = 0 representa un evento de default (morosidad o impago) (MathWorks, s.f.).</w:t>
      </w:r>
    </w:p>
    <w:p>
      <w:pPr>
        <w:pStyle w:val="BodyText"/>
      </w:pPr>
      <w:r>
        <w:t xml:space="preserve">A diferencia de las tarjetas de puntuación lineales basadas en regresión logística clásica, las arquitecturas modernas de Machine Learning (tales como Random Forests, Decision Trees o modelos basados en Gradient Boosting) permiten capturar de forma robusta complejas interacciones no lineales de alta dimensionalidad entre las variables financieras, reduciendo drásticamente la tasa de falsos negativos (MathWorks, s.f.). Sin embargo, la inclusión de múltiples variables proxies correlacionadas con atributos demográficos protegidos incrementa masivamente el riesgo de introducir discriminación algorítmica encubierta, pues el modelo puede depender de los atributos protegidos de forma indirecta a través de otras variables (Adebayo &amp; Kagal, 2016). Por consiguiente, integrar compuertas de aseguramiento continuo de calidad ética en las canalizaciones de MLOps no representa únicamente un esfuerzo técnico por optimizar el cálculo de la ECL, sino que constituye un estricto imperativo legal y ético para garantizar un acceso financiero justo, transparente y plenamente auditable (Reglamento IA UE, 2024; PCM, 2025).</w:t>
      </w:r>
    </w:p>
    <w:bookmarkEnd w:id="28"/>
    <w:bookmarkStart w:id="29" w:name="Xf6c214f00e706e9ba5e381df29c79ecb5a1c86d"/>
    <w:p>
      <w:pPr>
        <w:pStyle w:val="Heading3"/>
      </w:pPr>
      <w:r>
        <w:t xml:space="preserve">2.1.2 El sesgo algorítmico y la equidad en el Scoring Crediticio</w:t>
      </w:r>
    </w:p>
    <w:p>
      <w:pPr>
        <w:pStyle w:val="FirstParagraph"/>
      </w:pPr>
      <w:r>
        <w:t xml:space="preserve">En la ingeniería de software orientada a sistemas inteligentes, el sesgo algorítmico se define como el sesgo sistemático y repetible de un modelo de Machine Learning que produce resultados discriminatorios o desproporcionadamente desfavorables contra ciertos subgrupos demográficos (Adebayo &amp; Kagal, 2016; Angwin et al., 2016; Russo et al., 2024; Russo &amp; Vidal, 2025). El origen de este sesgo es diverso, clasificándose principalmente en (Russo et al., 2024; Russo &amp; Vidal, 2025):</w:t>
      </w:r>
    </w:p>
    <w:p>
      <w:pPr>
        <w:pStyle w:val="Compact"/>
        <w:numPr>
          <w:ilvl w:val="0"/>
          <w:numId w:val="1010"/>
        </w:numPr>
      </w:pPr>
      <w:r>
        <w:rPr>
          <w:b/>
          <w:bCs/>
        </w:rPr>
        <w:t xml:space="preserve">Sesgo histórico o social:</w:t>
      </w:r>
      <w:r>
        <w:t xml:space="preserve"> </w:t>
      </w:r>
      <w:r>
        <w:t xml:space="preserve">Proveniente de desigualdades arraigadas en la sociedad que quedan registradas de manera inherente en los datos históricos de entrenamiento (Russo et al., 2024; Russo &amp; Vidal, 2025).</w:t>
      </w:r>
    </w:p>
    <w:p>
      <w:pPr>
        <w:pStyle w:val="Compact"/>
        <w:numPr>
          <w:ilvl w:val="0"/>
          <w:numId w:val="1010"/>
        </w:numPr>
      </w:pPr>
      <w:r>
        <w:rPr>
          <w:b/>
          <w:bCs/>
        </w:rPr>
        <w:t xml:space="preserve">Sesgo de representación o muestreo:</w:t>
      </w:r>
      <w:r>
        <w:t xml:space="preserve"> </w:t>
      </w:r>
      <w:r>
        <w:t xml:space="preserve">Ocurre cuando el tamaño de la muestra de un subgrupo específico (minoría) está subrepresentado estadísticamente en el lote de datos, impidiendo que el algoritmo generalice adecuadamente para dicha población (Russo &amp; Vidal, 2025). En el ecosistema financiero global, este sesgo afecta de forma estructural a los perfiles</w:t>
      </w:r>
      <w:r>
        <w:t xml:space="preserve"> </w:t>
      </w:r>
      <w:r>
        <w:rPr>
          <w:i/>
          <w:iCs/>
        </w:rPr>
        <w:t xml:space="preserve">thin-file</w:t>
      </w:r>
      <w:r>
        <w:t xml:space="preserve"> </w:t>
      </w:r>
      <w:r>
        <w:t xml:space="preserve">(poblaciones informales o sin historial crediticio previo): hacia 2021, cerca de 1 400 millones de adultos en el mundo no tenían una cuenta en una institución financiera, y persistían brechas de acceso por género, ingreso, edad, nivel educativo y entre zonas rurales y urbanas (Demirgüç-Kunt et al., 2022). Para mitigar esta subrepresentación, las instituciones suelen ingestar</w:t>
      </w:r>
      <w:r>
        <w:t xml:space="preserve"> </w:t>
      </w:r>
      <w:r>
        <w:t xml:space="preserve">“datos alternativos”</w:t>
      </w:r>
      <w:r>
        <w:t xml:space="preserve"> </w:t>
      </w:r>
      <w:r>
        <w:t xml:space="preserve">(metadatos de dispositivos móviles, historiales de navegación o pagos de servicios no financieros); sin embargo, si estas nuevas fuentes de datos provienen mayoritariamente de poblaciones urbanas o digitalizadas, el sesgo de representación puede perpetuarse y amplificarse contra los sectores rurales o vulnerables.</w:t>
      </w:r>
    </w:p>
    <w:p>
      <w:pPr>
        <w:pStyle w:val="Compact"/>
        <w:numPr>
          <w:ilvl w:val="0"/>
          <w:numId w:val="1010"/>
        </w:numPr>
      </w:pPr>
      <w:r>
        <w:rPr>
          <w:b/>
          <w:bCs/>
        </w:rPr>
        <w:t xml:space="preserve">Sesgo de medición:</w:t>
      </w:r>
      <w:r>
        <w:t xml:space="preserve"> </w:t>
      </w:r>
      <w:r>
        <w:t xml:space="preserve">Introducido por errores sistemáticos durante la recolección o etiquetado de la información, o debido al uso de variables sustitutas (proxies) inadecuadas para estimar el objetivo de negocio (Russo &amp; Vidal, 2025). La dependencia de datos alternativos exacerba este riesgo, ya que estas variables conductuales a menudo contienen alto ruido estadístico y actúan como indicadores defectuosos que terminan midiendo la capacidad adquisitiva o el nivel de pobreza estructural del individuo, en lugar de evaluar su verdadera voluntad de pago o solvencia moral.</w:t>
      </w:r>
    </w:p>
    <w:p>
      <w:pPr>
        <w:pStyle w:val="FirstParagraph"/>
      </w:pPr>
      <w:r>
        <w:t xml:space="preserve">En los sistemas de scoring crediticio, la discriminación suele manifestarse de forma indirecta mediante la discriminación por proxy (Russo &amp; Vidal, 2025). Este fenómeno ocurre cuando se excluyen explícitamente variables sensibles o atributos protegidos Z (e.g., género, origen étnico) del entrenamiento del modelo, técnica conocida como</w:t>
      </w:r>
      <w:r>
        <w:t xml:space="preserve"> </w:t>
      </w:r>
      <w:r>
        <w:rPr>
          <w:i/>
          <w:iCs/>
        </w:rPr>
        <w:t xml:space="preserve">Fairness through Unawareness</w:t>
      </w:r>
      <w:r>
        <w:t xml:space="preserve">, pero el algoritmo logra reconstruir la información protegida utilizando variables sustitutas X correlacionadas (e.g., el código de zona postal, nivel educativo o estado civil) (Russo &amp; Vidal, 2025; Russo et al., 2024). Por consiguiente, el aseguramiento de la equidad (</w:t>
      </w:r>
      <w:r>
        <w:rPr>
          <w:i/>
          <w:iCs/>
        </w:rPr>
        <w:t xml:space="preserve">fairness</w:t>
      </w:r>
      <w:r>
        <w:t xml:space="preserve">) requiere metodologías capaces de auditar y mitigar activamente la propagación de estos patrones discriminatorios en todo el ciclo de vida del software (Russo &amp; Vidal, 2025).</w:t>
      </w:r>
    </w:p>
    <w:bookmarkEnd w:id="29"/>
    <w:bookmarkStart w:id="30" w:name="métricas-matemáticas-de-equidad-de-grupo"/>
    <w:p>
      <w:pPr>
        <w:pStyle w:val="Heading3"/>
      </w:pPr>
      <w:r>
        <w:t xml:space="preserve">2.1.3 Métricas matemáticas de Equidad de Grupo</w:t>
      </w:r>
    </w:p>
    <w:p>
      <w:pPr>
        <w:pStyle w:val="FirstParagraph"/>
      </w:pPr>
      <w:r>
        <w:t xml:space="preserve">La literatura de Inteligencia Artificial Confiable (</w:t>
      </w:r>
      <w:r>
        <w:rPr>
          <w:i/>
          <w:iCs/>
        </w:rPr>
        <w:t xml:space="preserve">Trustworthy AI</w:t>
      </w:r>
      <w:r>
        <w:t xml:space="preserve">) divide formalmente las métricas cuantitativas en dos grandes dimensiones: la equidad de grupo y la equidad individual (Mehrabi et al., 2021). La equidad de grupo busca asegurar que subgrupos definidos por un atributo protegido (e.g., mujeres vs. hombres, jóvenes vs. adultos) reciban en agregado un trato similar en los resultados predictivos del modelo (Mehrabi et al., 2021).</w:t>
      </w:r>
    </w:p>
    <w:p>
      <w:pPr>
        <w:pStyle w:val="BodyText"/>
      </w:pPr>
      <w:r>
        <w:t xml:space="preserve">Sea Y ε {0, 1} la etiqueta real de solvencia (donde 1 representa comportamiento crediticio favorable/buen pagador y 0 representa incumplimiento),</w:t>
      </w:r>
      <w:r>
        <w:t xml:space="preserve"> </w:t>
      </w:r>
      <m:oMath>
        <m:acc>
          <m:accPr>
            <m:chr m:val="̂"/>
          </m:accPr>
          <m:e>
            <m:r>
              <m:t>Y</m:t>
            </m:r>
          </m:e>
        </m:acc>
      </m:oMath>
      <w:r>
        <w:t xml:space="preserve"> </w:t>
      </w:r>
      <w:r>
        <w:t xml:space="preserve">ε {0, 1} la predicción del modelo de scoring, y Z ε {0, 1} el atributo protegido (donde Z = 0 denota al grupo desfavorecido o no privilegiado y Z = 1 al grupo privilegiado) (Russo et al., 2024; Russo &amp; Vidal, 2025). Las tres métricas de grupo fundamentales aplicadas al scoring crediticio se formulan matemáticamente de la siguiente manera:</w:t>
      </w:r>
    </w:p>
    <w:p>
      <w:pPr>
        <w:pStyle w:val="Compact"/>
        <w:numPr>
          <w:ilvl w:val="0"/>
          <w:numId w:val="1011"/>
        </w:numPr>
      </w:pPr>
      <w:r>
        <w:rPr>
          <w:b/>
          <w:bCs/>
        </w:rPr>
        <w:t xml:space="preserve">Diferencia de Paridad Estadística o Paridad Demográfica (SPD):</w:t>
      </w:r>
      <w:r>
        <w:t xml:space="preserve"> </w:t>
      </w:r>
      <w:r>
        <w:t xml:space="preserve">Exige que la probabilidad de recibir una predicción de crédito aprobada (</w:t>
      </w:r>
      <m:oMath>
        <m:acc>
          <m:accPr>
            <m:chr m:val="̂"/>
          </m:accPr>
          <m:e>
            <m:r>
              <m:t>Y</m:t>
            </m:r>
          </m:e>
        </m:acc>
      </m:oMath>
      <w:r>
        <w:t xml:space="preserve"> </w:t>
      </w:r>
      <w:r>
        <w:t xml:space="preserve">= 1) sea independiente de pertenecer al grupo sensible (Russo et al., 2024; Russo &amp; Vidal, 2025; Biswas &amp; Rajan, 2021). Se define como:</w:t>
      </w:r>
      <w:r>
        <w:t xml:space="preserve"> </w:t>
      </w:r>
      <m:oMath>
        <m:r>
          <m:t>S</m:t>
        </m:r>
        <m:r>
          <m:t>P</m:t>
        </m:r>
        <m:r>
          <m:t>D</m:t>
        </m:r>
        <m:r>
          <m:rPr>
            <m:sty m:val="p"/>
          </m:rPr>
          <m:t>=</m:t>
        </m:r>
        <m:r>
          <m:t>P</m:t>
        </m:r>
        <m:r>
          <m:rPr>
            <m:sty m:val="p"/>
          </m:rPr>
          <m:t>(</m:t>
        </m:r>
        <m:acc>
          <m:accPr>
            <m:chr m:val="̂"/>
          </m:accPr>
          <m:e>
            <m:r>
              <m:t>Y</m:t>
            </m:r>
          </m:e>
        </m:acc>
        <m:r>
          <m:rPr>
            <m:sty m:val="p"/>
          </m:rPr>
          <m:t>=</m:t>
        </m:r>
        <m:r>
          <m:t>1</m:t>
        </m:r>
        <m:r>
          <m:rPr>
            <m:sty m:val="p"/>
          </m:rPr>
          <m:t>∣</m:t>
        </m:r>
        <m:r>
          <m:t>Z</m:t>
        </m:r>
        <m:r>
          <m:rPr>
            <m:sty m:val="p"/>
          </m:rPr>
          <m:t>=</m:t>
        </m:r>
        <m:r>
          <m:t>0</m:t>
        </m:r>
        <m:r>
          <m:rPr>
            <m:sty m:val="p"/>
          </m:rPr>
          <m:t>)</m:t>
        </m:r>
        <m:r>
          <m:rPr>
            <m:sty m:val="p"/>
          </m:rPr>
          <m:t>−</m:t>
        </m:r>
        <m:r>
          <m:t>P</m:t>
        </m:r>
        <m:r>
          <m:rPr>
            <m:sty m:val="p"/>
          </m:rPr>
          <m:t>(</m:t>
        </m:r>
        <m:acc>
          <m:accPr>
            <m:chr m:val="̂"/>
          </m:accPr>
          <m:e>
            <m:r>
              <m:t>Y</m:t>
            </m:r>
          </m:e>
        </m:acc>
        <m:r>
          <m:rPr>
            <m:sty m:val="p"/>
          </m:rPr>
          <m:t>=</m:t>
        </m:r>
        <m:r>
          <m:t>1</m:t>
        </m:r>
        <m:r>
          <m:rPr>
            <m:sty m:val="p"/>
          </m:rPr>
          <m:t>∣</m:t>
        </m:r>
        <m:r>
          <m:t>Z</m:t>
        </m:r>
        <m:r>
          <m:rPr>
            <m:sty m:val="p"/>
          </m:rPr>
          <m:t>=</m:t>
        </m:r>
        <m:r>
          <m:t>1</m:t>
        </m:r>
        <m:r>
          <m:rPr>
            <m:sty m:val="p"/>
          </m:rPr>
          <m:t>)</m:t>
        </m:r>
      </m:oMath>
      <w:r>
        <w:t xml:space="preserve"> </w:t>
      </w:r>
      <w:r>
        <w:t xml:space="preserve">Un valor de SPD cercano a 0 representa condiciones perfectas de paridad. Valores negativos indican sesgo perjudicial contra el grupo no privilegiado (Zhu et al., 2025).</w:t>
      </w:r>
    </w:p>
    <w:p>
      <w:pPr>
        <w:pStyle w:val="Compact"/>
        <w:numPr>
          <w:ilvl w:val="0"/>
          <w:numId w:val="1011"/>
        </w:numPr>
      </w:pPr>
      <w:r>
        <w:rPr>
          <w:b/>
          <w:bCs/>
        </w:rPr>
        <w:t xml:space="preserve">Diferencia de Igualdad de Oportunidades (EOD):</w:t>
      </w:r>
      <w:r>
        <w:t xml:space="preserve"> </w:t>
      </w:r>
      <w:r>
        <w:t xml:space="preserve">Criterio canónico de equidad propuesto originalmente por Hardt et al. (2016) que evalúa la equidad únicamente sobre aquellos solicitantes de crédito que verdaderamente son solventes (Y = 1), exigiendo que la tasa de verdaderos positivos (TPR) sea equivalente entre ambos grupos (Russo et al., 2024; Russo &amp; Vidal, 2025; Biswas &amp; Rajan, 2021). Se formula como:</w:t>
      </w:r>
      <w:r>
        <w:t xml:space="preserve"> </w:t>
      </w:r>
      <m:oMath>
        <m:r>
          <m:t>E</m:t>
        </m:r>
        <m:r>
          <m:t>O</m:t>
        </m:r>
        <m:r>
          <m:t>D</m:t>
        </m:r>
        <m:r>
          <m:rPr>
            <m:sty m:val="p"/>
          </m:rPr>
          <m:t>=</m:t>
        </m:r>
        <m:r>
          <m:t>P</m:t>
        </m:r>
        <m:r>
          <m:rPr>
            <m:sty m:val="p"/>
          </m:rPr>
          <m:t>(</m:t>
        </m:r>
        <m:acc>
          <m:accPr>
            <m:chr m:val="̂"/>
          </m:accPr>
          <m:e>
            <m:r>
              <m:t>Y</m:t>
            </m:r>
          </m:e>
        </m:acc>
        <m:r>
          <m:rPr>
            <m:sty m:val="p"/>
          </m:rPr>
          <m:t>=</m:t>
        </m:r>
        <m:r>
          <m:t>1</m:t>
        </m:r>
        <m:r>
          <m:rPr>
            <m:sty m:val="p"/>
          </m:rPr>
          <m:t>∣</m:t>
        </m:r>
        <m:r>
          <m:t>Y</m:t>
        </m:r>
        <m:r>
          <m:rPr>
            <m:sty m:val="p"/>
          </m:rPr>
          <m:t>=</m:t>
        </m:r>
        <m:r>
          <m:t>1</m:t>
        </m:r>
        <m:r>
          <m:rPr>
            <m:sty m:val="p"/>
          </m:rPr>
          <m:t>,</m:t>
        </m:r>
        <m:r>
          <m:t>Z</m:t>
        </m:r>
        <m:r>
          <m:rPr>
            <m:sty m:val="p"/>
          </m:rPr>
          <m:t>=</m:t>
        </m:r>
        <m:r>
          <m:t>0</m:t>
        </m:r>
        <m:r>
          <m:rPr>
            <m:sty m:val="p"/>
          </m:rPr>
          <m:t>)</m:t>
        </m:r>
        <m:r>
          <m:rPr>
            <m:sty m:val="p"/>
          </m:rPr>
          <m:t>−</m:t>
        </m:r>
        <m:r>
          <m:t>P</m:t>
        </m:r>
        <m:r>
          <m:rPr>
            <m:sty m:val="p"/>
          </m:rPr>
          <m:t>(</m:t>
        </m:r>
        <m:acc>
          <m:accPr>
            <m:chr m:val="̂"/>
          </m:accPr>
          <m:e>
            <m:r>
              <m:t>Y</m:t>
            </m:r>
          </m:e>
        </m:acc>
        <m:r>
          <m:rPr>
            <m:sty m:val="p"/>
          </m:rPr>
          <m:t>=</m:t>
        </m:r>
        <m:r>
          <m:t>1</m:t>
        </m:r>
        <m:r>
          <m:rPr>
            <m:sty m:val="p"/>
          </m:rPr>
          <m:t>∣</m:t>
        </m:r>
        <m:r>
          <m:t>Y</m:t>
        </m:r>
        <m:r>
          <m:rPr>
            <m:sty m:val="p"/>
          </m:rPr>
          <m:t>=</m:t>
        </m:r>
        <m:r>
          <m:t>1</m:t>
        </m:r>
        <m:r>
          <m:rPr>
            <m:sty m:val="p"/>
          </m:rPr>
          <m:t>,</m:t>
        </m:r>
        <m:r>
          <m:t>Z</m:t>
        </m:r>
        <m:r>
          <m:rPr>
            <m:sty m:val="p"/>
          </m:rPr>
          <m:t>=</m:t>
        </m:r>
        <m:r>
          <m:t>1</m:t>
        </m:r>
        <m:r>
          <m:rPr>
            <m:sty m:val="p"/>
          </m:rPr>
          <m:t>)</m:t>
        </m:r>
      </m:oMath>
      <w:r>
        <w:t xml:space="preserve"> </w:t>
      </w:r>
      <w:r>
        <w:t xml:space="preserve">Esta métrica es crítica en finanzas, ya que garantiza que los buenos pagadores tengan la misma tasa de aprobación de crédito independientemente de su grupo demográfico (Russo &amp; Vidal, 2025; Biswas &amp; Rajan, 2021).</w:t>
      </w:r>
    </w:p>
    <w:p>
      <w:pPr>
        <w:pStyle w:val="Compact"/>
        <w:numPr>
          <w:ilvl w:val="0"/>
          <w:numId w:val="1011"/>
        </w:numPr>
      </w:pPr>
      <w:r>
        <w:rPr>
          <w:b/>
          <w:bCs/>
        </w:rPr>
        <w:t xml:space="preserve">Impacto Dispar (DI):</w:t>
      </w:r>
      <w:r>
        <w:t xml:space="preserve"> </w:t>
      </w:r>
      <w:r>
        <w:t xml:space="preserve">Es una métrica de ratio o cociente entre las tasas de selección favorable de ambos grupos (Russo et al., 2024; Russo &amp; Vidal, 2025; Biswas &amp; Rajan, 2021):</w:t>
      </w:r>
      <w:r>
        <w:t xml:space="preserve"> </w:t>
      </w:r>
      <m:oMath>
        <m:r>
          <m:t>D</m:t>
        </m:r>
        <m:r>
          <m:t>I</m:t>
        </m:r>
        <m:r>
          <m:rPr>
            <m:sty m:val="p"/>
          </m:rPr>
          <m:t>=</m:t>
        </m:r>
        <m:f>
          <m:fPr>
            <m:type m:val="bar"/>
          </m:fPr>
          <m:num>
            <m:r>
              <m:t>P</m:t>
            </m:r>
            <m:r>
              <m:rPr>
                <m:sty m:val="p"/>
              </m:rPr>
              <m:t>(</m:t>
            </m:r>
            <m:acc>
              <m:accPr>
                <m:chr m:val="̂"/>
              </m:accPr>
              <m:e>
                <m:r>
                  <m:t>Y</m:t>
                </m:r>
              </m:e>
            </m:acc>
            <m:r>
              <m:rPr>
                <m:sty m:val="p"/>
              </m:rPr>
              <m:t>=</m:t>
            </m:r>
            <m:r>
              <m:t>1</m:t>
            </m:r>
            <m:r>
              <m:rPr>
                <m:sty m:val="p"/>
              </m:rPr>
              <m:t>∣</m:t>
            </m:r>
            <m:r>
              <m:t>Z</m:t>
            </m:r>
            <m:r>
              <m:rPr>
                <m:sty m:val="p"/>
              </m:rPr>
              <m:t>=</m:t>
            </m:r>
            <m:r>
              <m:t>0</m:t>
            </m:r>
            <m:r>
              <m:rPr>
                <m:sty m:val="p"/>
              </m:rPr>
              <m:t>)</m:t>
            </m:r>
          </m:num>
          <m:den>
            <m:r>
              <m:t>P</m:t>
            </m:r>
            <m:r>
              <m:rPr>
                <m:sty m:val="p"/>
              </m:rPr>
              <m:t>(</m:t>
            </m:r>
            <m:acc>
              <m:accPr>
                <m:chr m:val="̂"/>
              </m:accPr>
              <m:e>
                <m:r>
                  <m:t>Y</m:t>
                </m:r>
              </m:e>
            </m:acc>
            <m:r>
              <m:rPr>
                <m:sty m:val="p"/>
              </m:rPr>
              <m:t>=</m:t>
            </m:r>
            <m:r>
              <m:t>1</m:t>
            </m:r>
            <m:r>
              <m:rPr>
                <m:sty m:val="p"/>
              </m:rPr>
              <m:t>∣</m:t>
            </m:r>
            <m:r>
              <m:t>Z</m:t>
            </m:r>
            <m:r>
              <m:rPr>
                <m:sty m:val="p"/>
              </m:rPr>
              <m:t>=</m:t>
            </m:r>
            <m:r>
              <m:t>1</m:t>
            </m:r>
            <m:r>
              <m:rPr>
                <m:sty m:val="p"/>
              </m:rPr>
              <m:t>)</m:t>
            </m:r>
          </m:den>
        </m:f>
      </m:oMath>
      <w:r>
        <w:t xml:space="preserve"> </w:t>
      </w:r>
      <w:r>
        <w:t xml:space="preserve">. La regla de los cuatro quintos, establecida en las</w:t>
      </w:r>
      <w:r>
        <w:t xml:space="preserve"> </w:t>
      </w:r>
      <w:r>
        <w:rPr>
          <w:i/>
          <w:iCs/>
        </w:rPr>
        <w:t xml:space="preserve">Uniform Guidelines on Employee Selection Procedures</w:t>
      </w:r>
      <w:r>
        <w:t xml:space="preserve"> </w:t>
      </w:r>
      <w:r>
        <w:t xml:space="preserve">de EE. UU. para procesos de selección de personal, considera evidencia de impacto adverso que la tasa de selección de un grupo sea menor a cuatro quintos (80%) de la del grupo con la tasa más alta, es decir, un cociente DI menor que 0.80 (Uniform Guidelines on Employee Selection Procedures, 1978). Este umbral se ha extendido como referencia en la literatura de aprendizaje automático consciente de la equidad (Reda et al., 2025).</w:t>
      </w:r>
    </w:p>
    <w:p>
      <w:pPr>
        <w:pStyle w:val="FirstParagraph"/>
      </w:pPr>
      <w:r>
        <w:t xml:space="preserve">Las formulaciones anteriores suponen un único atributo protegido binario en el que se conoce cuál es el grupo no privilegiado. En la práctica, un sistema de scoring debe evaluarse respecto de varios atributos protegidos a la vez (por ejemplo, sexo y edad, ambos protegidos por la ECOA) y, en ocasiones, la codificación de los datos no permite saber qué valor corresponde a cada grupo (ECOA, 1974). En ese caso se emplean las formas simétricas de las métricas: para SPD y EOD, la diferencia entre la mayor y la menor tasa observada entre los grupos, y para DI, el cociente entre la menor y la mayor tasa de selección. Estas formas no indican qué grupo resulta desfavorecido, pero permiten verificar que la disparidad entre grupos se mantenga dentro de los umbrales, y son las que implementa Fairlearn en sus métricas de diferencia y de cociente entre grupos (Weerts et al., 2023).</w:t>
      </w:r>
    </w:p>
    <w:bookmarkEnd w:id="30"/>
    <w:bookmarkStart w:id="31" w:name="X0d649c25340fe2bed86285e2f5793fed48c3201"/>
    <w:p>
      <w:pPr>
        <w:pStyle w:val="Heading3"/>
      </w:pPr>
      <w:r>
        <w:t xml:space="preserve">2.1.4 Métricas matemáticas de Equidad Individual y Multiplicidad</w:t>
      </w:r>
    </w:p>
    <w:p>
      <w:pPr>
        <w:pStyle w:val="FirstParagraph"/>
      </w:pPr>
      <w:r>
        <w:t xml:space="preserve">A diferencia del enfoque de grupo, la equidad individual parte de la premisa filosófica de que</w:t>
      </w:r>
      <w:r>
        <w:t xml:space="preserve"> </w:t>
      </w:r>
      <w:r>
        <w:t xml:space="preserve">“individuos similares deben recibir resultados similares”</w:t>
      </w:r>
      <w:r>
        <w:t xml:space="preserve"> </w:t>
      </w:r>
      <w:r>
        <w:t xml:space="preserve">(Mehrabi et al., 2021). Es un enfoque micro centrado en el sujeto que complementa las métricas macro de distribución (Mehrabi et al., 2021).</w:t>
      </w:r>
    </w:p>
    <w:p>
      <w:pPr>
        <w:numPr>
          <w:ilvl w:val="0"/>
          <w:numId w:val="1012"/>
        </w:numPr>
      </w:pPr>
      <w:r>
        <w:rPr>
          <w:b/>
          <w:bCs/>
        </w:rPr>
        <w:t xml:space="preserve">Consistencia (Consistency)</w:t>
      </w:r>
      <w:r>
        <w:t xml:space="preserve">: Cuantifica la similitud local entre las decisiones del algoritmo evaluando la cercanía en el espacio euclídeo de características. Se mide comparando la predicción de una instancia x frente a las predicciones del modelo sobre sus k vecinos más cercanos (típicamente k = 5) (Mehrabi et al., 2021): Consistency(x) =</w:t>
      </w:r>
    </w:p>
    <w:p>
      <w:pPr>
        <w:pStyle w:val="BodyText"/>
      </w:pPr>
      <m:oMathPara>
        <m:oMathParaPr>
          <m:jc m:val="center"/>
        </m:oMathParaPr>
        <m:oMath>
          <m:r>
            <m:t>1</m:t>
          </m:r>
          <m:r>
            <m:rPr>
              <m:sty m:val="p"/>
            </m:rPr>
            <m:t>−</m:t>
          </m:r>
          <m:f>
            <m:fPr>
              <m:type m:val="bar"/>
            </m:fPr>
            <m:num>
              <m:r>
                <m:t>1</m:t>
              </m:r>
            </m:num>
            <m:den>
              <m:r>
                <m:t>k</m:t>
              </m:r>
            </m:den>
          </m:f>
          <m:nary>
            <m:naryPr>
              <m:chr m:val="∑"/>
              <m:limLoc m:val="undOvr"/>
              <m:subHide m:val="off"/>
              <m:supHide m:val="on"/>
            </m:naryPr>
            <m:sub>
              <m:sSub>
                <m:e>
                  <m:r>
                    <m:t>x</m:t>
                  </m:r>
                </m:e>
                <m:sub>
                  <m:r>
                    <m:t>j</m:t>
                  </m:r>
                </m:sub>
              </m:sSub>
              <m:r>
                <m:rPr>
                  <m:sty m:val="p"/>
                </m:rPr>
                <m:t>∈</m:t>
              </m:r>
              <m:r>
                <m:t>k</m:t>
              </m:r>
              <m:r>
                <m:rPr>
                  <m:sty m:val="p"/>
                </m:rPr>
                <m:t>−</m:t>
              </m:r>
              <m:r>
                <m:t>N</m:t>
              </m:r>
              <m:r>
                <m:t>N</m:t>
              </m:r>
              <m:r>
                <m:rPr>
                  <m:sty m:val="p"/>
                </m:rPr>
                <m:t>(</m:t>
              </m:r>
              <m:r>
                <m:t>x</m:t>
              </m:r>
              <m:r>
                <m:rPr>
                  <m:sty m:val="p"/>
                </m:rPr>
                <m:t>)</m:t>
              </m:r>
            </m:sub>
            <m:sup>
              <m:r>
                <m:t>​</m:t>
              </m:r>
            </m:sup>
            <m:e>
              <m:r>
                <m:rPr>
                  <m:sty m:val="p"/>
                </m:rPr>
                <m:t>|</m:t>
              </m:r>
            </m:e>
          </m:nary>
          <m:r>
            <m:t>Y</m:t>
          </m:r>
          <m:r>
            <m:rPr>
              <m:sty m:val="p"/>
            </m:rPr>
            <m:t>(</m:t>
          </m:r>
          <m:r>
            <m:t>x</m:t>
          </m:r>
          <m:r>
            <m:rPr>
              <m:sty m:val="p"/>
            </m:rPr>
            <m:t>)</m:t>
          </m:r>
          <m:r>
            <m:rPr>
              <m:sty m:val="p"/>
            </m:rPr>
            <m:t>−</m:t>
          </m:r>
          <m:r>
            <m:t>Y</m:t>
          </m:r>
          <m:r>
            <m:rPr>
              <m:sty m:val="p"/>
            </m:rPr>
            <m:t>(</m:t>
          </m:r>
          <m:sSub>
            <m:e>
              <m:r>
                <m:t>x</m:t>
              </m:r>
            </m:e>
            <m:sub>
              <m:r>
                <m:t>j</m:t>
              </m:r>
            </m:sub>
          </m:sSub>
          <m:r>
            <m:rPr>
              <m:sty m:val="p"/>
            </m:rPr>
            <m:t>)</m:t>
          </m:r>
          <m:r>
            <m:rPr>
              <m:sty m:val="p"/>
            </m:rPr>
            <m:t>|</m:t>
          </m:r>
          <m:r>
            <m:rPr>
              <m:sty m:val="p"/>
            </m:rPr>
            <m:t>.</m:t>
          </m:r>
        </m:oMath>
      </m:oMathPara>
    </w:p>
    <w:p>
      <w:pPr>
        <w:numPr>
          <w:ilvl w:val="0"/>
          <w:numId w:val="1012"/>
        </w:numPr>
      </w:pPr>
      <w:r>
        <w:rPr>
          <w:b/>
          <w:bCs/>
        </w:rPr>
        <w:t xml:space="preserve">Puntuación de Discriminación Causal (CDS)</w:t>
      </w:r>
      <w:r>
        <w:t xml:space="preserve">: Cuantifica la robustez individual simulando un escenario contrafactual (Ji et al., 2023; Biswas &amp; Rajan, 2021). Para un sujeto dado, se perturba sintéticamente el valor de su atributo protegido (e.g., modificando el género de femenino a masculino en la solicitud de crédito) manteniendo constantes las demás variables de características (Ji et al., 2023; Biswas &amp; Rajan, 2021). El CDS registra el porcentaje de veces que esta alteración aislada altera la predicción final de otorgamiento, evidenciando una dependencia causal indeseable de la decisión algorítmica respecto al atributo sensible (Ji et al., 2023; Biswas &amp; Rajan, 2021).</w:t>
      </w:r>
    </w:p>
    <w:p>
      <w:pPr>
        <w:numPr>
          <w:ilvl w:val="0"/>
          <w:numId w:val="1012"/>
        </w:numPr>
      </w:pPr>
      <w:r>
        <w:rPr>
          <w:b/>
          <w:bCs/>
        </w:rPr>
        <w:t xml:space="preserve">Injusticia por exclusión de uno (Leave-One-Out Unfairness - LUF):</w:t>
      </w:r>
      <w:r>
        <w:t xml:space="preserve"> </w:t>
      </w:r>
      <w:r>
        <w:t xml:space="preserve">Formaliza conceptualmente la arbitrariedad inherente de las reglas de decisión de un modelo (Black &amp; Fredrikson, 2021; Mehrabi et al., 2021). LUF mide la probabilidad en el peor escenario de que el resultado predictivo para un individuo x se vea modificado simplemente por haber excluido una sola instancia de datos aleatoria del lote de datos con el que se entrenó originalmente el modelo (Black &amp; Fredrikson, 2021; Biswas &amp; Rajan, 2021):</w:t>
      </w:r>
    </w:p>
    <w:p>
      <w:pPr>
        <w:pStyle w:val="BodyText"/>
      </w:pPr>
      <m:oMathPara>
        <m:oMathParaPr>
          <m:jc m:val="center"/>
        </m:oMathParaPr>
        <m:oMath>
          <m:r>
            <m:t>L</m:t>
          </m:r>
          <m:r>
            <m:t>U</m:t>
          </m:r>
          <m:r>
            <m:t>F</m:t>
          </m:r>
          <m:r>
            <m:rPr>
              <m:sty m:val="p"/>
            </m:rPr>
            <m:t>(</m:t>
          </m:r>
          <m:r>
            <m:t>h</m:t>
          </m:r>
          <m:r>
            <m:rPr>
              <m:sty m:val="p"/>
            </m:rPr>
            <m:t>,</m:t>
          </m:r>
          <m:r>
            <m:t>S</m:t>
          </m:r>
          <m:r>
            <m:rPr>
              <m:sty m:val="p"/>
            </m:rPr>
            <m:t>,</m:t>
          </m:r>
          <m:r>
            <m:t>x</m:t>
          </m:r>
          <m:r>
            <m:rPr>
              <m:sty m:val="p"/>
            </m:rPr>
            <m:t>)</m:t>
          </m:r>
          <m:r>
            <m:rPr>
              <m:sty m:val="p"/>
            </m:rPr>
            <m:t>=</m:t>
          </m:r>
          <m:limLow>
            <m:e>
              <m:r>
                <m:rPr>
                  <m:sty m:val="p"/>
                </m:rPr>
                <m:t>max</m:t>
              </m:r>
            </m:e>
            <m:lim>
              <m:r>
                <m:t>i</m:t>
              </m:r>
            </m:lim>
          </m:limLow>
          <m:d>
            <m:dPr>
              <m:begChr m:val="|"/>
              <m:sepChr m:val=""/>
              <m:endChr m:val="|"/>
              <m:grow/>
            </m:dPr>
            <m:e>
              <m:r>
                <m:t>P</m:t>
              </m:r>
              <m:r>
                <m:rPr>
                  <m:sty m:val="p"/>
                </m:rPr>
                <m:t>(</m:t>
              </m:r>
              <m:sSub>
                <m:e>
                  <m:r>
                    <m:t>h</m:t>
                  </m:r>
                </m:e>
                <m:sub>
                  <m:r>
                    <m:t>S</m:t>
                  </m:r>
                </m:sub>
              </m:sSub>
              <m:r>
                <m:rPr>
                  <m:sty m:val="p"/>
                </m:rPr>
                <m:t>(</m:t>
              </m:r>
              <m:r>
                <m:t>x</m:t>
              </m:r>
              <m:r>
                <m:rPr>
                  <m:sty m:val="p"/>
                </m:rPr>
                <m:t>)</m:t>
              </m:r>
              <m:r>
                <m:rPr>
                  <m:sty m:val="p"/>
                </m:rPr>
                <m:t>=</m:t>
              </m:r>
              <m:acc>
                <m:accPr>
                  <m:chr m:val="̂"/>
                </m:accPr>
                <m:e>
                  <m:r>
                    <m:t>y</m:t>
                  </m:r>
                </m:e>
              </m:acc>
              <m:r>
                <m:rPr>
                  <m:sty m:val="p"/>
                </m:rPr>
                <m:t>)</m:t>
              </m:r>
              <m:r>
                <m:rPr>
                  <m:sty m:val="p"/>
                </m:rPr>
                <m:t>−</m:t>
              </m:r>
              <m:r>
                <m:t>P</m:t>
              </m:r>
              <m:r>
                <m:rPr>
                  <m:sty m:val="p"/>
                </m:rPr>
                <m:t>(</m:t>
              </m:r>
              <m:sSub>
                <m:e>
                  <m:r>
                    <m:t>h</m:t>
                  </m:r>
                </m:e>
                <m:sub>
                  <m:r>
                    <m:t>S</m:t>
                  </m:r>
                  <m:r>
                    <m:rPr>
                      <m:sty m:val="p"/>
                    </m:rPr>
                    <m:t>\</m:t>
                  </m:r>
                  <m:r>
                    <m:rPr>
                      <m:sty m:val="p"/>
                    </m:rPr>
                    <m:t>{</m:t>
                  </m:r>
                  <m:sSub>
                    <m:e>
                      <m:r>
                        <m:t>z</m:t>
                      </m:r>
                    </m:e>
                    <m:sub>
                      <m:r>
                        <m:t>i</m:t>
                      </m:r>
                    </m:sub>
                  </m:sSub>
                  <m:r>
                    <m:rPr>
                      <m:sty m:val="p"/>
                    </m:rPr>
                    <m:t>}</m:t>
                  </m:r>
                </m:sub>
              </m:sSub>
              <m:r>
                <m:rPr>
                  <m:sty m:val="p"/>
                </m:rPr>
                <m:t>(</m:t>
              </m:r>
              <m:r>
                <m:t>x</m:t>
              </m:r>
              <m:r>
                <m:rPr>
                  <m:sty m:val="p"/>
                </m:rPr>
                <m:t>)</m:t>
              </m:r>
              <m:r>
                <m:rPr>
                  <m:sty m:val="p"/>
                </m:rPr>
                <m:t>=</m:t>
              </m:r>
              <m:acc>
                <m:accPr>
                  <m:chr m:val="̂"/>
                </m:accPr>
                <m:e>
                  <m:r>
                    <m:t>y</m:t>
                  </m:r>
                </m:e>
              </m:acc>
              <m:r>
                <m:rPr>
                  <m:sty m:val="p"/>
                </m:rPr>
                <m:t>)</m:t>
              </m:r>
            </m:e>
          </m:d>
        </m:oMath>
      </m:oMathPara>
    </w:p>
    <w:p>
      <w:pPr>
        <w:numPr>
          <w:ilvl w:val="0"/>
          <w:numId w:val="1000"/>
        </w:numPr>
      </w:pPr>
      <w:r>
        <w:t xml:space="preserve">Un LUF elevado demuestra que la decisión sobre un solicitante de crédito depende de factores de muestreo fortuitos e irrelevantes para su solvencia, careciendo de justificabilidad o explicabilidad técnica estable (Black &amp; Fredrikson, 2021).</w:t>
      </w:r>
    </w:p>
    <w:bookmarkEnd w:id="31"/>
    <w:bookmarkStart w:id="32" w:name="Xf21787b532941bb7f585fe09c8763d6fd5bd2da"/>
    <w:p>
      <w:pPr>
        <w:pStyle w:val="Heading3"/>
      </w:pPr>
      <w:r>
        <w:t xml:space="preserve">2.1.5 Degradación del sistema: Drift de Datos, de Concepto y de Sesgo</w:t>
      </w:r>
    </w:p>
    <w:p>
      <w:pPr>
        <w:pStyle w:val="FirstParagraph"/>
      </w:pPr>
      <w:r>
        <w:t xml:space="preserve">La estabilidad de un clasificador de riesgo crediticio es inherentemente inestable debido a que las condiciones macroeconómicas y demográficas en entornos en producción cambian constantemente en comparación con el entorno histórico estático en el que el modelo fue entrenado (Avuthu, 2021; Reda et al., 2025). Esta degradación de calidad se caracteriza por tres fenómenos:</w:t>
      </w:r>
    </w:p>
    <w:p>
      <w:pPr>
        <w:pStyle w:val="Compact"/>
        <w:numPr>
          <w:ilvl w:val="0"/>
          <w:numId w:val="1013"/>
        </w:numPr>
      </w:pPr>
      <w:r>
        <w:rPr>
          <w:b/>
          <w:bCs/>
        </w:rPr>
        <w:t xml:space="preserve">Deriva de datos (</w:t>
      </w:r>
      <w:r>
        <w:rPr>
          <w:b/>
          <w:bCs/>
          <w:i/>
          <w:iCs/>
        </w:rPr>
        <w:t xml:space="preserve">Data Drift</w:t>
      </w:r>
      <w:r>
        <w:rPr>
          <w:b/>
          <w:bCs/>
        </w:rPr>
        <w:t xml:space="preserve">):</w:t>
      </w:r>
      <w:r>
        <w:t xml:space="preserve"> </w:t>
      </w:r>
      <w:r>
        <w:t xml:space="preserve">Desviación sistemática en la distribución de las variables de entrada del modelo predictivo P(X) provocada por cambios poblacionales o de mercado (Avuthu, 2021; Reda et al., 2025).</w:t>
      </w:r>
    </w:p>
    <w:p>
      <w:pPr>
        <w:pStyle w:val="Compact"/>
        <w:numPr>
          <w:ilvl w:val="0"/>
          <w:numId w:val="1013"/>
        </w:numPr>
      </w:pPr>
      <w:r>
        <w:rPr>
          <w:b/>
          <w:bCs/>
        </w:rPr>
        <w:t xml:space="preserve">Deriva de concepto (</w:t>
      </w:r>
      <w:r>
        <w:rPr>
          <w:b/>
          <w:bCs/>
          <w:i/>
          <w:iCs/>
        </w:rPr>
        <w:t xml:space="preserve">Concept Drift</w:t>
      </w:r>
      <w:r>
        <w:rPr>
          <w:b/>
          <w:bCs/>
        </w:rPr>
        <w:t xml:space="preserve">):</w:t>
      </w:r>
      <w:r>
        <w:t xml:space="preserve"> </w:t>
      </w:r>
      <w:r>
        <w:t xml:space="preserve">Cambio gradual o repentino en la relación matemática real entre las variables de entrada y la variable objetivo P(Y | X) (e.g., variaciones en las tasas de morosidad ante fluctuaciones en las tasas de interés) (Avuthu, 2021; Reda et al., 2025).</w:t>
      </w:r>
    </w:p>
    <w:p>
      <w:pPr>
        <w:pStyle w:val="Compact"/>
        <w:numPr>
          <w:ilvl w:val="0"/>
          <w:numId w:val="1013"/>
        </w:numPr>
      </w:pPr>
      <w:r>
        <w:rPr>
          <w:b/>
          <w:bCs/>
        </w:rPr>
        <w:t xml:space="preserve">Deriva del sesgo (</w:t>
      </w:r>
      <w:r>
        <w:rPr>
          <w:b/>
          <w:bCs/>
          <w:i/>
          <w:iCs/>
        </w:rPr>
        <w:t xml:space="preserve">Bias Drift</w:t>
      </w:r>
      <w:r>
        <w:rPr>
          <w:b/>
          <w:bCs/>
        </w:rPr>
        <w:t xml:space="preserve">):</w:t>
      </w:r>
      <w:r>
        <w:t xml:space="preserve"> </w:t>
      </w:r>
      <w:r>
        <w:t xml:space="preserve">Consecuencia operativa donde el modelo, al interactuar con datos reales desviados en producción, altera sus tasas de error grupal e inyecta disparidades éticas imprevistas que violan los umbrales de equidad originalmente garantizados en desarrollo (Reda et al., 2025). Esto justifica la necesidad de integrar un monitoreo continuo de métricas en producción para disparar reentrenamientos seguros (Reda et al., 2025).</w:t>
      </w:r>
    </w:p>
    <w:bookmarkEnd w:id="32"/>
    <w:bookmarkStart w:id="33" w:name="Xfac153a65ae22d9a63f86d4c1ad23ecb9ff2d85"/>
    <w:p>
      <w:pPr>
        <w:pStyle w:val="Heading3"/>
      </w:pPr>
      <w:r>
        <w:t xml:space="preserve">2.1.6 El dilema de Precisión frente a Equidad (Accuracy-Fairness Trade-off)</w:t>
      </w:r>
    </w:p>
    <w:p>
      <w:pPr>
        <w:pStyle w:val="FirstParagraph"/>
      </w:pPr>
      <w:r>
        <w:t xml:space="preserve">En la optimización tradicional de algoritmos de aprendizaje automático, el objetivo matemático principal es minimizar una función de pérdida empírica</w:t>
      </w:r>
      <w:r>
        <w:t xml:space="preserve"> </w:t>
      </w:r>
      <m:oMath>
        <m:r>
          <m:t>L</m:t>
        </m:r>
        <m:r>
          <m:rPr>
            <m:sty m:val="p"/>
          </m:rPr>
          <m:t>(</m:t>
        </m:r>
        <m:acc>
          <m:accPr>
            <m:chr m:val="̂"/>
          </m:accPr>
          <m:e>
            <m:r>
              <m:t>Y</m:t>
            </m:r>
          </m:e>
        </m:acc>
        <m:r>
          <m:rPr>
            <m:sty m:val="p"/>
          </m:rPr>
          <m:t>,</m:t>
        </m:r>
        <m:r>
          <m:t>Y</m:t>
        </m:r>
        <m:r>
          <m:rPr>
            <m:sty m:val="p"/>
          </m:rPr>
          <m:t>)</m:t>
        </m:r>
      </m:oMath>
      <w:r>
        <w:t xml:space="preserve"> </w:t>
      </w:r>
      <w:r>
        <w:t xml:space="preserve">para maximizar métricas de rendimiento predictivo, tales como la exactitud (</w:t>
      </w:r>
      <w:r>
        <w:rPr>
          <w:i/>
          <w:iCs/>
        </w:rPr>
        <w:t xml:space="preserve">Accuracy</w:t>
      </w:r>
      <w:r>
        <w:t xml:space="preserve">) o el área bajo la curva ROC (ROC-AUC). Sin embargo, la evidencia científica demuestra que la imposición de restricciones matemáticas para satisfacer criterios estrictos de equidad de grupo, tales como llevar la Diferencia de Paridad Estadística (SPD) o la Diferencia de Igualdad de Oportunidades (EOD) a un valor de 0, actúa como una penalización de regularización que aleja al algoritmo de su solución predictiva óptima. Este fenómeno estructural se conoce formalmente como el dilema de precisión frente a equidad (</w:t>
      </w:r>
      <w:r>
        <w:rPr>
          <w:i/>
          <w:iCs/>
        </w:rPr>
        <w:t xml:space="preserve">Accuracy-Fairness Trade-off</w:t>
      </w:r>
      <w:r>
        <w:t xml:space="preserve">) (Menon &amp; Williamson, 2018).</w:t>
      </w:r>
    </w:p>
    <w:p>
      <w:pPr>
        <w:pStyle w:val="BodyText"/>
      </w:pPr>
      <w:r>
        <w:t xml:space="preserve">En el contexto de la gestión del riesgo de crédito, este</w:t>
      </w:r>
      <w:r>
        <w:t xml:space="preserve"> </w:t>
      </w:r>
      <w:r>
        <w:rPr>
          <w:i/>
          <w:iCs/>
        </w:rPr>
        <w:t xml:space="preserve">trade-off</w:t>
      </w:r>
      <w:r>
        <w:t xml:space="preserve"> </w:t>
      </w:r>
      <w:r>
        <w:t xml:space="preserve">posee implicaciones operativas y financieras críticas. Cualquier degradación en el poder predictivo del algoritmo se traduce intrínsecamente en un aumento de la tasa de falsos positivos (aprobar crédito a malos pagadores) o falsos negativos (rechazar a clientes financieramente solventes). Dado que las normativas internacionales establecen que el cálculo de la Pérdida Esperada (ECL) depende directamente de la precisión en la estimación de la Probabilidad de Default (PD), un modelo que sacrifique excesivamente su exactitud para forzar una equidad estadística perfecta desestabiliza el perfil de riesgo de la entidad.</w:t>
      </w:r>
    </w:p>
    <w:p>
      <w:pPr>
        <w:pStyle w:val="BodyText"/>
      </w:pPr>
      <w:r>
        <w:t xml:space="preserve">Por consiguiente, el aseguramiento de calidad algorítmica no persigue la eliminación absoluta e incondicional de las disparidades, sino la optimización sobre la frontera de Pareto (</w:t>
      </w:r>
      <w:r>
        <w:rPr>
          <w:i/>
          <w:iCs/>
        </w:rPr>
        <w:t xml:space="preserve">Pareto frontier</w:t>
      </w:r>
      <w:r>
        <w:t xml:space="preserve">) entre la precisión y la equidad (Menon &amp; Williamson, 2018). Este dilema justifica la aplicación del principio de multiplicidad del modelo para fines de auditoría. La arquitectura MLOps diseñada en esta investigación emplea los</w:t>
      </w:r>
      <w:r>
        <w:t xml:space="preserve"> </w:t>
      </w:r>
      <w:r>
        <w:t xml:space="preserve">“Contratos de Equidad”</w:t>
      </w:r>
      <w:r>
        <w:t xml:space="preserve"> </w:t>
      </w:r>
      <w:r>
        <w:t xml:space="preserve">no sólo como mecanismos de bloqueo, sino para facilitar la búsqueda sistemática e iterativa de aquel clasificador que ofrezca el menor impacto dispar posible entre todos los modelos estadísticamente equivalentes en su precisión predictiva, garantizando un despliegue operativo que sea simultáneamente ético, legal y rentable.</w:t>
      </w:r>
    </w:p>
    <w:bookmarkEnd w:id="33"/>
    <w:bookmarkStart w:id="34" w:name="X5304f44ad1c27c4aef039acc0d81d9e3dec4a18"/>
    <w:p>
      <w:pPr>
        <w:pStyle w:val="Heading3"/>
      </w:pPr>
      <w:r>
        <w:t xml:space="preserve">2.1.7 Incertidumbre estadística en la evaluación de la equidad</w:t>
      </w:r>
    </w:p>
    <w:p>
      <w:pPr>
        <w:pStyle w:val="FirstParagraph"/>
      </w:pPr>
      <w:r>
        <w:t xml:space="preserve">Las métricas de equidad de grupo se estiman sobre una muestra finita de solicitantes, por lo que su valor observado está sujeto a variabilidad muestral. Esta variabilidad es mayor cuanto menor es el tamaño de los grupos comparados, lo que resulta crítico en el scoring crediticio, donde los eventos de</w:t>
      </w:r>
      <w:r>
        <w:t xml:space="preserve"> </w:t>
      </w:r>
      <w:r>
        <w:rPr>
          <w:i/>
          <w:iCs/>
        </w:rPr>
        <w:t xml:space="preserve">default</w:t>
      </w:r>
      <w:r>
        <w:t xml:space="preserve"> </w:t>
      </w:r>
      <w:r>
        <w:t xml:space="preserve">suelen ser minoritarios y algunos grupos protegidos representan una fracción pequeña de la cartera. Una compuerta que compare el valor puntual de una métrica con un umbral podría aprobar o rechazar un modelo por efecto del azar en la partición de los datos, y no por una diferencia real en su comportamiento.</w:t>
      </w:r>
    </w:p>
    <w:p>
      <w:pPr>
        <w:pStyle w:val="BodyText"/>
      </w:pPr>
      <w:r>
        <w:t xml:space="preserve">El</w:t>
      </w:r>
      <w:r>
        <w:t xml:space="preserve"> </w:t>
      </w:r>
      <w:r>
        <w:rPr>
          <w:i/>
          <w:iCs/>
        </w:rPr>
        <w:t xml:space="preserve">bootstrap</w:t>
      </w:r>
      <w:r>
        <w:t xml:space="preserve"> </w:t>
      </w:r>
      <w:r>
        <w:t xml:space="preserve">es un método de remuestreo que aproxima la distribución muestral de un estadístico remuestreando con reemplazo los datos observados, sin requerir supuestos paramétricos sobre la población, y permite construir intervalos de confianza para estadísticos complejos (Efron &amp; Tibshirani, 1993). Aplicado a las métricas de equidad, permite reportar cada valor con su intervalo de confianza y tomar la decisión de la compuerta con el extremo del intervalo más desfavorable respecto del umbral. Así, el control de calidad adopta una postura conservadora: un modelo solo se considera conforme cuando la evidencia disponible es compatible con el cumplimiento del umbral incluso en el peor caso plausible.</w:t>
      </w:r>
    </w:p>
    <w:bookmarkEnd w:id="34"/>
    <w:bookmarkEnd w:id="35"/>
    <w:bookmarkStart w:id="39" w:name="marco-teórico"/>
    <w:p>
      <w:pPr>
        <w:pStyle w:val="Heading2"/>
      </w:pPr>
      <w:r>
        <w:t xml:space="preserve">2.2 Marco Teórico</w:t>
      </w:r>
    </w:p>
    <w:p>
      <w:pPr>
        <w:pStyle w:val="FirstParagraph"/>
      </w:pPr>
      <w:r>
        <w:t xml:space="preserve">Esta sección detalla los paradigmas y marcos metodológicos de la ingeniería de software y operaciones que estructuran el diseño tecnológico de la arquitectura MLOps.</w:t>
      </w:r>
    </w:p>
    <w:bookmarkStart w:id="36" w:name="Xfa8452b45dbbffd1fe8086e8f27ca1118f46e08"/>
    <w:p>
      <w:pPr>
        <w:pStyle w:val="Heading3"/>
      </w:pPr>
      <w:r>
        <w:t xml:space="preserve">2.2.1 El paradigma MLOps y la automatización CI/CD</w:t>
      </w:r>
    </w:p>
    <w:p>
      <w:pPr>
        <w:pStyle w:val="FirstParagraph"/>
      </w:pPr>
      <w:r>
        <w:t xml:space="preserve">El paradigma MLOps (Machine Learning Operations) constituye una cultura y un conjunto de prácticas de ingeniería de software orientadas a unificar de manera confiable el desarrollo (Dev) y la operación (Ops) de sistemas basados en aprendizaje automático en producción (Kazmierczak et al., 2024; Russo et al., 2024). Para mitigar las validaciones manuales aisladas del Nivel 0 de madurez, es imperativo establecer canalizaciones (</w:t>
      </w:r>
      <w:r>
        <w:rPr>
          <w:i/>
          <w:iCs/>
        </w:rPr>
        <w:t xml:space="preserve">pipelines</w:t>
      </w:r>
      <w:r>
        <w:t xml:space="preserve">) de MLOps de Nivel 2 basadas en la orquestación de Integración Continua (CI), Entrega Continua (CD) y Entrenamiento Continuo (CT) (Kazmierczak et al., 2024).</w:t>
      </w:r>
    </w:p>
    <w:p>
      <w:pPr>
        <w:pStyle w:val="BodyText"/>
      </w:pPr>
      <w:r>
        <w:t xml:space="preserve">La CI automatiza la compilación, ejecución de aserciones de código y empaquetamiento del software ante cualquier confirmación en el repositorio de código fuente (Kazmierczak et al., 2024). En MLOps, la CI debe validar activamente la integridad de los datos, los esquemas de entrada y la robustez del modelo predictivo (Kazmierczak et al., 2024), dado que los problemas de calidad de datos suelen manifestarse tarde y ser difíciles de detectar solo con la evaluación de exactitud del modelo (Kästner, 2021). La CD automatiza el despliegue rápido del modelo validado hacia el entorno de simulación (</w:t>
      </w:r>
      <w:r>
        <w:rPr>
          <w:i/>
          <w:iCs/>
        </w:rPr>
        <w:t xml:space="preserve">staging</w:t>
      </w:r>
      <w:r>
        <w:t xml:space="preserve">) o producción local (Kazmierczak et al., 2024). Finalmente, el CT automatiza la ejecución periódica del</w:t>
      </w:r>
      <w:r>
        <w:t xml:space="preserve"> </w:t>
      </w:r>
      <w:r>
        <w:rPr>
          <w:i/>
          <w:iCs/>
        </w:rPr>
        <w:t xml:space="preserve">pipeline</w:t>
      </w:r>
      <w:r>
        <w:t xml:space="preserve"> </w:t>
      </w:r>
      <w:r>
        <w:t xml:space="preserve">de entrenamiento a partir de nuevos lotes de datos limpios, activado por alertas de deriva o decaimiento de rendimiento emitidas por herramientas de monitoreo en producción (Kazmierczak et al., 2024).</w:t>
      </w:r>
    </w:p>
    <w:bookmarkEnd w:id="36"/>
    <w:bookmarkStart w:id="37" w:name="X6825456c424451590012fade390c07621024abf"/>
    <w:p>
      <w:pPr>
        <w:pStyle w:val="Heading3"/>
      </w:pPr>
      <w:r>
        <w:t xml:space="preserve">2.2.2 Aseguramiento de Calidad proactivo: Shift-Left Testing y Contratos de Equidad</w:t>
      </w:r>
    </w:p>
    <w:p>
      <w:pPr>
        <w:pStyle w:val="FirstParagraph"/>
      </w:pPr>
      <w:r>
        <w:t xml:space="preserve">Las canalizaciones tradicionales de Machine Learning adolecen de un enfoque tardío del aseguramiento de calidad, evaluando la equidad únicamente como un análisis de caja negra sobre el artefacto predictivo final ya desplegado (Biswas &amp; Rajan, 2021). Sin embargo, la investigación demuestra que el sesgo algorítmico es de naturaleza composicional (Biswas &amp; Rajan, 2021). Las transformaciones secuenciales e intermedias de características, tales como la imputación de nulos mediante estimaciones o el escalado numérico de variables, introducen desviaciones sutiles que actúan de manera aditiva e inyectan sesgos éticos que no se originaron en el conjunto de datos de entrada crudo (Biswas &amp; Rajan, 2021).</w:t>
      </w:r>
    </w:p>
    <w:p>
      <w:pPr>
        <w:pStyle w:val="BodyText"/>
      </w:pPr>
      <w:r>
        <w:t xml:space="preserve">Para solucionar esto, la arquitectura propuesta adopta el principio metodológico de</w:t>
      </w:r>
      <w:r>
        <w:t xml:space="preserve"> </w:t>
      </w:r>
      <w:r>
        <w:rPr>
          <w:i/>
          <w:iCs/>
        </w:rPr>
        <w:t xml:space="preserve">Shift-Left Testing</w:t>
      </w:r>
      <w:r>
        <w:t xml:space="preserve"> </w:t>
      </w:r>
      <w:r>
        <w:t xml:space="preserve">de la ingeniería de software, el cual desplaza las actividades de prueba e inspección de calidad hacia las etapas más tempranas posibles de la canalización de desarrollo (Biswas &amp; Rajan, 2021; Nguyen, 2024). Este principio se operativiza mediante el Diseño por Contratos de Equidad (</w:t>
      </w:r>
      <w:r>
        <w:rPr>
          <w:i/>
          <w:iCs/>
        </w:rPr>
        <w:t xml:space="preserve">Fairness Contracts</w:t>
      </w:r>
      <w:r>
        <w:t xml:space="preserve">) (Nguyen, 2024).</w:t>
      </w:r>
    </w:p>
    <w:p>
      <w:pPr>
        <w:pStyle w:val="BodyText"/>
      </w:pPr>
      <w:r>
        <w:t xml:space="preserve">Basados en el paradigma clásico de</w:t>
      </w:r>
      <w:r>
        <w:t xml:space="preserve"> </w:t>
      </w:r>
      <w:r>
        <w:rPr>
          <w:i/>
          <w:iCs/>
        </w:rPr>
        <w:t xml:space="preserve">Design by Contract</w:t>
      </w:r>
      <w:r>
        <w:t xml:space="preserve"> </w:t>
      </w:r>
      <w:r>
        <w:t xml:space="preserve">(DbC), los contratos de equidad aplican aserciones y restricciones matemáticas en tiempo de ejecución (precondiciones y postcondiciones) sobre módulos individuales del</w:t>
      </w:r>
      <w:r>
        <w:t xml:space="preserve"> </w:t>
      </w:r>
      <w:r>
        <w:rPr>
          <w:i/>
          <w:iCs/>
        </w:rPr>
        <w:t xml:space="preserve">pipeline</w:t>
      </w:r>
      <w:r>
        <w:t xml:space="preserve"> </w:t>
      </w:r>
      <w:r>
        <w:t xml:space="preserve">(Nguyen, 2024). Si un preprocesador o estimador específico viola el umbral ético definido de forma declarativa (e.g., un archivo de configuración en formato YAML), el orquestador CI/CD (e.g., Pytest + GitHub Actions) interrumpe inmediatamente el flujo con un código de salida fallido (</w:t>
      </w:r>
      <w:r>
        <w:rPr>
          <w:i/>
          <w:iCs/>
        </w:rPr>
        <w:t xml:space="preserve">exit 1</w:t>
      </w:r>
      <w:r>
        <w:t xml:space="preserve">) a través de Compuertas de Calidad (</w:t>
      </w:r>
      <w:r>
        <w:rPr>
          <w:i/>
          <w:iCs/>
        </w:rPr>
        <w:t xml:space="preserve">QA Gates</w:t>
      </w:r>
      <w:r>
        <w:t xml:space="preserve">), impidiendo de forma proactiva la propagación del defecto y permitiendo la rápida localización e identificación de la causa raíz (Nguyen, 2024).</w:t>
      </w:r>
    </w:p>
    <w:bookmarkEnd w:id="37"/>
    <w:bookmarkStart w:id="38" w:name="Xb02bf9bcc89d452e1477db91fa0b38236c4d587"/>
    <w:p>
      <w:pPr>
        <w:pStyle w:val="Heading3"/>
      </w:pPr>
      <w:r>
        <w:t xml:space="preserve">2.2.3 Trazabilidad semántica mediante Grafos de Conocimiento (RDF/OWL)</w:t>
      </w:r>
    </w:p>
    <w:p>
      <w:pPr>
        <w:pStyle w:val="FirstParagraph"/>
      </w:pPr>
      <w:r>
        <w:t xml:space="preserve">Localizar e interrumpir un despliegue éticamente comprometido en la etapa de CI/CD es insuficiente si la organización no puede documentar ni explicar la trazabilidad de sus decisiones algorítmicas ante entes reguladores o equipos de auditoría interna (Ogrizović et al., 2024; Kazmierczak et al., 2024). Esto exige el registro del linaje de datos (</w:t>
      </w:r>
      <w:r>
        <w:rPr>
          <w:i/>
          <w:iCs/>
        </w:rPr>
        <w:t xml:space="preserve">provenance</w:t>
      </w:r>
      <w:r>
        <w:t xml:space="preserve">), el cual mapea la historia de transformaciones que sufre cada registro de datos individuales a lo largo de los operadores del</w:t>
      </w:r>
      <w:r>
        <w:t xml:space="preserve"> </w:t>
      </w:r>
      <w:r>
        <w:rPr>
          <w:i/>
          <w:iCs/>
        </w:rPr>
        <w:t xml:space="preserve">pipeline</w:t>
      </w:r>
      <w:r>
        <w:t xml:space="preserve"> </w:t>
      </w:r>
      <w:r>
        <w:t xml:space="preserve">de Machine Learning (Russo et al., 2024; Russo &amp; Vidal, 2025).</w:t>
      </w:r>
    </w:p>
    <w:p>
      <w:pPr>
        <w:pStyle w:val="BodyText"/>
      </w:pPr>
      <w:r>
        <w:t xml:space="preserve">Para que este linaje de datos sea inteligible, uniforme y estructurado tanto para máquinas como para humanos, la propuesta de solución integra la Trazabilidad Semántica mediante Grafos de Conocimiento utilizando estándares establecidos por la World Wide Web Consortium (W3C) (Russo et al., 2024; Russo &amp; Vidal, 2025). Mediante el formato RDF (</w:t>
      </w:r>
      <w:r>
        <w:rPr>
          <w:i/>
          <w:iCs/>
        </w:rPr>
        <w:t xml:space="preserve">Resource Description Framework</w:t>
      </w:r>
      <w:r>
        <w:t xml:space="preserve">), los metadatos de los experimentos se serializan en forma de tripletas factuales estructuradas (sujeto, predicado, objeto) (Russo et al., 2024; Russo &amp; Vidal, 2025). Estos metadatos incluyen los parámetros y resultados registrados en plataformas de gestión del ciclo de vida como MLflow, orientadas al seguimiento de experimentos y a la reproducibilidad (Zaharia et al., 2018), los</w:t>
      </w:r>
      <w:r>
        <w:t xml:space="preserve"> </w:t>
      </w:r>
      <w:r>
        <w:rPr>
          <w:i/>
          <w:iCs/>
        </w:rPr>
        <w:t xml:space="preserve">hashes</w:t>
      </w:r>
      <w:r>
        <w:t xml:space="preserve"> </w:t>
      </w:r>
      <w:r>
        <w:t xml:space="preserve">de versión de los datos, los resultados de las</w:t>
      </w:r>
      <w:r>
        <w:t xml:space="preserve"> </w:t>
      </w:r>
      <w:r>
        <w:rPr>
          <w:i/>
          <w:iCs/>
        </w:rPr>
        <w:t xml:space="preserve">QA Gates</w:t>
      </w:r>
      <w:r>
        <w:t xml:space="preserve"> </w:t>
      </w:r>
      <w:r>
        <w:t xml:space="preserve">y las explicaciones locales calculadas mediante SHAP.</w:t>
      </w:r>
    </w:p>
    <w:p>
      <w:pPr>
        <w:pStyle w:val="BodyText"/>
      </w:pPr>
      <w:r>
        <w:t xml:space="preserve">Para regular el vocabulario y garantizar la interoperabilidad semántica del grafo resultante, se define una ontología formal en OWL (</w:t>
      </w:r>
      <w:r>
        <w:rPr>
          <w:i/>
          <w:iCs/>
        </w:rPr>
        <w:t xml:space="preserve">Web Ontology Language</w:t>
      </w:r>
      <w:r>
        <w:t xml:space="preserve">) que describe las relaciones conceptuales entre componentes de datos, variables demográficas, tipos de sesgos y métricas éticas (Russo et al., 2024; Russo &amp; Vidal, 2025). Para favorecer la interoperabilidad, esta ontología puede apoyarse en vocabularios estandarizados por el W3C en lugar de definir todos sus conceptos desde cero. PROV-O</w:t>
      </w:r>
      <w:r>
        <w:t xml:space="preserve"> </w:t>
      </w:r>
      <w:r>
        <w:t xml:space="preserve">“expresses the PROV Data Model using the OWL2 Web Ontology Language”</w:t>
      </w:r>
      <w:r>
        <w:t xml:space="preserve"> </w:t>
      </w:r>
      <w:r>
        <w:t xml:space="preserve">(Lebo et al., 2013, Resumen) y permite describir qué actividades usaron o generaron qué datos y modelos; el vocabulario DQV proporciona un marco para describir la calidad de un conjunto de datos, en el que una medición de calidad</w:t>
      </w:r>
      <w:r>
        <w:t xml:space="preserve"> </w:t>
      </w:r>
      <w:r>
        <w:t xml:space="preserve">“represents the evaluation of a given dataset (or dataset distribution) against a specific quality metric”</w:t>
      </w:r>
      <w:r>
        <w:t xml:space="preserve"> </w:t>
      </w:r>
      <w:r>
        <w:t xml:space="preserve">(Albertoni &amp; Isaac, 2016, sección 4.1), lo que permite representar cada métrica de equidad como una medición de este tipo. A su vez, SHACL es</w:t>
      </w:r>
      <w:r>
        <w:t xml:space="preserve"> </w:t>
      </w:r>
      <w:r>
        <w:t xml:space="preserve">“a language for validating RDF graphs against a set of conditions”</w:t>
      </w:r>
      <w:r>
        <w:t xml:space="preserve"> </w:t>
      </w:r>
      <w:r>
        <w:t xml:space="preserve">(Knublauch &amp; Kontokostas, 2017, Resumen), con el cual es posible verificar automáticamente que cada registro del grafo esté completo antes de usarlo como evidencia.</w:t>
      </w:r>
    </w:p>
    <w:p>
      <w:pPr>
        <w:pStyle w:val="BodyText"/>
      </w:pPr>
      <w:r>
        <w:t xml:space="preserve">Este grafo de conocimiento se almacena en un repositorio de tripletas RDF, que permite a auditores técnicos o legales ejecutar consultas declarativas en lenguaje SPARQL para reconstruir de forma automática el reporte documental de cumplimiento y auditoría de equidad exigido por las regulaciones financieras (Russo et al., 2024).</w:t>
      </w:r>
    </w:p>
    <w:bookmarkEnd w:id="38"/>
    <w:bookmarkEnd w:id="39"/>
    <w:bookmarkStart w:id="44" w:name="marco-legal"/>
    <w:p>
      <w:pPr>
        <w:pStyle w:val="Heading2"/>
      </w:pPr>
      <w:r>
        <w:t xml:space="preserve">2.3 Marco Legal</w:t>
      </w:r>
    </w:p>
    <w:bookmarkStart w:id="40" w:name="X3845577c2fcc62b5de8c405416b94c9ee99485c"/>
    <w:p>
      <w:pPr>
        <w:pStyle w:val="Heading3"/>
      </w:pPr>
      <w:r>
        <w:t xml:space="preserve">2.3.1 Ley de IA de la Unión Europea (EU AI Act - Reglamento UE 2024/1689)</w:t>
      </w:r>
    </w:p>
    <w:p>
      <w:pPr>
        <w:pStyle w:val="FirstParagraph"/>
      </w:pPr>
      <w:r>
        <w:t xml:space="preserve">Sancionado de manera formal el 13 de junio de 2024, representa la legislación horizontal en gobernanza de inteligencia artificial más influyente del mundo (Reglamento IA UE, 2024). Su enfoque metodológico se fundamenta en una clasificación proporcional basada en el riesgo, identificando categorías específicas de riesgo inaceptable (prohibidas), riesgo alto, riesgo de transparencia específica y riesgo mínimo (Reglamento IA UE, 2024).</w:t>
      </w:r>
    </w:p>
    <w:p>
      <w:pPr>
        <w:pStyle w:val="BodyText"/>
      </w:pPr>
      <w:r>
        <w:t xml:space="preserve">De acuerdo con el Anexo III, punto 5.b del reglamento, se clasifican explícitamente como sistemas de IA de alto riesgo a aquellos que estén destinados a utilizarse para evaluar la solvencia de personas físicas o establecer su calificación crediticia (</w:t>
      </w:r>
      <w:r>
        <w:rPr>
          <w:i/>
          <w:iCs/>
        </w:rPr>
        <w:t xml:space="preserve">scoring</w:t>
      </w:r>
      <w:r>
        <w:t xml:space="preserve">) (Reglamento IA UE, 2024). Esta clasificación legal impone de forma obligatoria y punible a los proveedores y responsables del despliegue financiero el cumplimiento de exigencias técnicas rigurosas (Reglamento IA UE, 2024):</w:t>
      </w:r>
    </w:p>
    <w:p>
      <w:pPr>
        <w:pStyle w:val="Compact"/>
        <w:numPr>
          <w:ilvl w:val="0"/>
          <w:numId w:val="1014"/>
        </w:numPr>
      </w:pPr>
      <w:r>
        <w:rPr>
          <w:b/>
          <w:bCs/>
        </w:rPr>
        <w:t xml:space="preserve">Gobernanza y calidad de datos (Art. 10):</w:t>
      </w:r>
      <w:r>
        <w:t xml:space="preserve"> </w:t>
      </w:r>
      <w:r>
        <w:t xml:space="preserve">El reglamento exige de manera imperativa implementar prácticas de gestión de datos, incluyendo la evaluación y mitigación proactiva de posibles sesgos discriminatorios sistemáticos (Reglamento IA UE, 2024).</w:t>
      </w:r>
    </w:p>
    <w:p>
      <w:pPr>
        <w:pStyle w:val="Compact"/>
        <w:numPr>
          <w:ilvl w:val="0"/>
          <w:numId w:val="1014"/>
        </w:numPr>
      </w:pPr>
      <w:r>
        <w:rPr>
          <w:b/>
          <w:bCs/>
        </w:rPr>
        <w:t xml:space="preserve">Trazabilidad y registro técnico (Art. 11 y 12):</w:t>
      </w:r>
      <w:r>
        <w:t xml:space="preserve"> </w:t>
      </w:r>
      <w:r>
        <w:t xml:space="preserve">Exige mantener la documentación técnica actualizada e integrar mecanismos de registro automático de acontecimientos mediante archivos de registro (</w:t>
      </w:r>
      <w:r>
        <w:rPr>
          <w:i/>
          <w:iCs/>
        </w:rPr>
        <w:t xml:space="preserve">logs</w:t>
      </w:r>
      <w:r>
        <w:t xml:space="preserve">) a lo largo de toda la vida útil de los sistemas de alto riesgo para garantizar su auditabilidad por terceros (Reglamento IA UE, 2024).</w:t>
      </w:r>
    </w:p>
    <w:p>
      <w:pPr>
        <w:pStyle w:val="Compact"/>
        <w:numPr>
          <w:ilvl w:val="0"/>
          <w:numId w:val="1014"/>
        </w:numPr>
      </w:pPr>
      <w:r>
        <w:rPr>
          <w:b/>
          <w:bCs/>
        </w:rPr>
        <w:t xml:space="preserve">Evaluación de impacto relativa a los derechos fundamentales (Art. 27):</w:t>
      </w:r>
      <w:r>
        <w:t xml:space="preserve"> </w:t>
      </w:r>
      <w:r>
        <w:t xml:space="preserve">Obliga a los responsables del despliegue de los sistemas de alto riesgo del Anexo III, punto 5(b) —entre ellos, las entidades que usan IA para evaluar la solvencia o establecer la calificación crediticia— a realizar esta evaluación antes de poner el sistema en uso (Reglamento IA UE, 2024).</w:t>
      </w:r>
    </w:p>
    <w:p>
      <w:pPr>
        <w:pStyle w:val="Compact"/>
        <w:numPr>
          <w:ilvl w:val="0"/>
          <w:numId w:val="1014"/>
        </w:numPr>
      </w:pPr>
      <w:r>
        <w:rPr>
          <w:b/>
          <w:bCs/>
        </w:rPr>
        <w:t xml:space="preserve">La paradoja de la privacidad y el procesamiento de datos sensibles (Art. 10.5):</w:t>
      </w:r>
      <w:r>
        <w:t xml:space="preserve"> </w:t>
      </w:r>
      <w:r>
        <w:t xml:space="preserve">Un desafío estructural en la auditoría algorítmica es la fricción legal entre las normativas globales de protección de datos (como el GDPR europeo o la Ley de Protección de Datos Personales en Perú) y la evaluación matemática de la equidad. Para que herramientas como Fairlearn puedan cuantificar métricas grupales de disparidad, el</w:t>
      </w:r>
      <w:r>
        <w:t xml:space="preserve"> </w:t>
      </w:r>
      <w:r>
        <w:rPr>
          <w:i/>
          <w:iCs/>
        </w:rPr>
        <w:t xml:space="preserve">pipeline</w:t>
      </w:r>
      <w:r>
        <w:t xml:space="preserve"> </w:t>
      </w:r>
      <w:r>
        <w:t xml:space="preserve">de Machine Learning requiere ingerir y procesar obligatoriamente el atributo protegido</w:t>
      </w:r>
      <w:r>
        <w:t xml:space="preserve"> </w:t>
      </w:r>
      <m:oMath>
        <m:r>
          <m:t>Z</m:t>
        </m:r>
      </m:oMath>
      <w:r>
        <w:t xml:space="preserve"> </w:t>
      </w:r>
      <w:r>
        <w:t xml:space="preserve">(por ejemplo, el origen étnico o género). Para resolver esta paradoja jurídica, el Reglamento de IA introduce una excepción explícita en su Artículo 10, apartado 5. Esta cláusula permite a los proveedores de sistemas de IA de alto riesgo procesar categorías especiales de datos personales, de manera estricta y exclusiva, con el propósito de detectar, monitorear y corregir sesgos algorítmicos (Reglamento IA UE, 2024). Esta facultad excepcional está condicionada a la implementación de salvaguardias técnicas inviolables, como la seudonimización y el cifrado de última generación (Reglamento IA UE, 2024). En el contexto de la presente investigación, esta exigencia regulatoria fundamenta la inclusión del componente de</w:t>
      </w:r>
      <w:r>
        <w:t xml:space="preserve"> </w:t>
      </w:r>
      <w:r>
        <w:t xml:space="preserve">“Captura y seudonimización”</w:t>
      </w:r>
      <w:r>
        <w:t xml:space="preserve"> </w:t>
      </w:r>
      <w:r>
        <w:t xml:space="preserve">dentro de la Zona 3 (Producción) de la arquitectura diseñada, que almacena el atributo protegido separado de las variables del modelo y lo usa exclusivamente para calcular las métricas de equidad, garantizando que el monitoreo de la deriva del sesgo (</w:t>
      </w:r>
      <w:r>
        <w:rPr>
          <w:i/>
          <w:iCs/>
        </w:rPr>
        <w:t xml:space="preserve">bias drift</w:t>
      </w:r>
      <w:r>
        <w:t xml:space="preserve">) se ejecute en estricto cumplimiento legal.</w:t>
      </w:r>
    </w:p>
    <w:p>
      <w:pPr>
        <w:pStyle w:val="FirstParagraph"/>
      </w:pPr>
      <w:r>
        <w:t xml:space="preserve">Cabe precisar que el Reglamento fue modificado por el Reglamento (UE) 2026/1744, de 8 de julio de 2026 (</w:t>
      </w:r>
      <w:r>
        <w:rPr>
          <w:i/>
          <w:iCs/>
        </w:rPr>
        <w:t xml:space="preserve">Digital Omnibus on AI</w:t>
      </w:r>
      <w:r>
        <w:t xml:space="preserve">), orientado a simplificar la aplicación de las normas armonizadas sobre inteligencia artificial (Reglamento (UE) 2026/1744, 2026). Por ello, las fechas a partir de las cuales son exigibles las obligaciones para los sistemas de alto riesgo deben consultarse en la versión consolidada vigente del Reglamento.</w:t>
      </w:r>
      <w:r>
        <w:t xml:space="preserve"> </w:t>
      </w:r>
      <w:r>
        <w:rPr>
          <w:rStyle w:val="Pendiente"/>
        </w:rPr>
        <w:t xml:space="preserve">PENDIENTE:verificar en el texto oficial de 2026/1744 las nuevas fechas de aplicación para los sistemas del Anexo III (fuentes secundarias indican el 2 de diciembre de 2027) y, si se confirma, indicarlo aquí.</w:t>
      </w:r>
    </w:p>
    <w:bookmarkEnd w:id="40"/>
    <w:bookmarkStart w:id="41" w:name="X87c1512157431ad5de75d4ec87b19e74cb4148c"/>
    <w:p>
      <w:pPr>
        <w:pStyle w:val="Heading3"/>
      </w:pPr>
      <w:r>
        <w:t xml:space="preserve">2.3.2 Normativa de Equidad en Finanzas Globales (ECOA de Estados Unidos)</w:t>
      </w:r>
    </w:p>
    <w:p>
      <w:pPr>
        <w:pStyle w:val="FirstParagraph"/>
      </w:pPr>
      <w:r>
        <w:t xml:space="preserve">En el ecosistema financiero internacional, la legislación estadounidense bajo la</w:t>
      </w:r>
      <w:r>
        <w:t xml:space="preserve"> </w:t>
      </w:r>
      <w:r>
        <w:rPr>
          <w:i/>
          <w:iCs/>
        </w:rPr>
        <w:t xml:space="preserve">Equal Credit Opportunity Act</w:t>
      </w:r>
      <w:r>
        <w:t xml:space="preserve"> </w:t>
      </w:r>
      <w:r>
        <w:t xml:space="preserve">(ECOA - Public Law 93-495) establece que es ilegal que un acreedor discrimine a cualquier solicitante de crédito basándose en atributos protegidos como la raza, género, estado civil, edad o religión (Equal Credit Opportunity Act [ECOA], 1974). El marco de la ECOA es de gran trascendencia global debido a que tipifica formalmente la doctrina de impacto dispar (</w:t>
      </w:r>
      <w:r>
        <w:rPr>
          <w:i/>
          <w:iCs/>
        </w:rPr>
        <w:t xml:space="preserve">disparate impact doctrine</w:t>
      </w:r>
      <w:r>
        <w:t xml:space="preserve">) (Equal Credit Opportunity Act [ECOA], 1974; Bartlett et al., 2022).</w:t>
      </w:r>
    </w:p>
    <w:p>
      <w:pPr>
        <w:pStyle w:val="BodyText"/>
      </w:pPr>
      <w:r>
        <w:t xml:space="preserve">Bajo este principio legal, una práctica crediticia neutral en apariencia—como el uso de un clasificador de Machine Learning complejo—se considera ilegal si genera resultados desproporcionadamente desfavorables contra un grupo protegido, a menos que el prestamista pueda justificar que la variable o modelo responde a una</w:t>
      </w:r>
      <w:r>
        <w:t xml:space="preserve"> </w:t>
      </w:r>
      <w:r>
        <w:t xml:space="preserve">“necesidad de negocio legítima que no puede razonablemente lograrse de manera igualmente eficaz por medios menos discriminatorios”</w:t>
      </w:r>
      <w:r>
        <w:t xml:space="preserve"> </w:t>
      </w:r>
      <w:r>
        <w:t xml:space="preserve">(Bartlett et al., 2022). Asimismo, en lo que respecta a la explicabilidad y el derecho a recibir una justificación clara, la propia ECOA establece que todo solicitante al que se le deniega un crédito tiene derecho a recibir del acreedor una declaración de las razones de esa decisión (</w:t>
      </w:r>
      <w:r>
        <w:rPr>
          <w:i/>
          <w:iCs/>
        </w:rPr>
        <w:t xml:space="preserve">adverse action</w:t>
      </w:r>
      <w:r>
        <w:t xml:space="preserve">) (ECOA, 1974), obligación que desarrolla la</w:t>
      </w:r>
      <w:r>
        <w:t xml:space="preserve"> </w:t>
      </w:r>
      <w:r>
        <w:rPr>
          <w:i/>
          <w:iCs/>
        </w:rPr>
        <w:t xml:space="preserve">Regulation B</w:t>
      </w:r>
      <w:r>
        <w:t xml:space="preserve">. La Oficina para la Protección Financiera del Consumidor (CFPB) precisó en su Circular 2023-03 que dichas razones deben ser específicas e indicar el motivo principal del rechazo, sin limitarse a listas genéricas de motivos, incluso cuando la decisión se apoya en modelos complejos (CFPB, 2023). Si bien esa circular fue retirada por la CFPB el 12 de mayo de 2025, como parte de una revisión general de sus documentos de orientación (CFPB, 2025), la obligación de fundamentar el rechazo se mantiene en la ley. Esta exigencia de transparencia fundamenta de manera regulatoria directa la necesidad de integrar técnicas de atribución local de características, como SHAP, en el</w:t>
      </w:r>
      <w:r>
        <w:t xml:space="preserve"> </w:t>
      </w:r>
      <w:r>
        <w:rPr>
          <w:i/>
          <w:iCs/>
        </w:rPr>
        <w:t xml:space="preserve">pipeline</w:t>
      </w:r>
      <w:r>
        <w:t xml:space="preserve"> </w:t>
      </w:r>
      <w:r>
        <w:t xml:space="preserve">de producción para automatizar explicaciones justificables.</w:t>
      </w:r>
    </w:p>
    <w:bookmarkEnd w:id="41"/>
    <w:bookmarkStart w:id="42" w:name="X0fa47dd693197c30223e97bf45faee4f5b163f2"/>
    <w:p>
      <w:pPr>
        <w:pStyle w:val="Heading3"/>
      </w:pPr>
      <w:r>
        <w:t xml:space="preserve">2.3.3 Estándar Internacional de Gestión de IA (ISO/IEC 42001)</w:t>
      </w:r>
    </w:p>
    <w:p>
      <w:pPr>
        <w:pStyle w:val="FirstParagraph"/>
      </w:pPr>
      <w:r>
        <w:t xml:space="preserve">Publicado en diciembre de 2023, este estándar internacional especifica los requisitos y ofrece orientación para establecer, implementar, mantener y mejorar de forma continua un Sistema de Gestión de Inteligencia Artificial (AIMS) en organizaciones que proveen o utilizan sistemas de IA (ISO/IEC 42001, 2023). El estándar reconoce retos propios de la IA, como la toma de decisiones automatizada de forma poco transparente o explicable y los sistemas que modifican su comportamiento al aprender de forma continua, y pide integrar en los procesos de la organización la gestión de riesgos y de aspectos de confiabilidad como la seguridad, la equidad (</w:t>
      </w:r>
      <w:r>
        <w:rPr>
          <w:i/>
          <w:iCs/>
        </w:rPr>
        <w:t xml:space="preserve">fairness</w:t>
      </w:r>
      <w:r>
        <w:t xml:space="preserve">), la transparencia y la calidad de los datos a lo largo de todo el ciclo de vida de los sistemas (ISO/IEC 42001, 2023). Una organización que cumple sus requisitos puede generar evidencia de su responsabilidad y rendición de cuentas respecto de los sistemas de IA que desarrolla o usa, lo que alinea la presente tesis con las mejores prácticas internacionales de ingeniería de software ético (ISO/IEC 42001, 2023; Reglamento IA UE, 2024).</w:t>
      </w:r>
    </w:p>
    <w:bookmarkEnd w:id="42"/>
    <w:bookmarkStart w:id="43" w:name="X7033e8fd848b997bc5936a2c825b1eb3584e3b0"/>
    <w:p>
      <w:pPr>
        <w:pStyle w:val="Heading3"/>
      </w:pPr>
      <w:r>
        <w:t xml:space="preserve">2.3.4 Reglamento peruano de Inteligencia Artificial (D.S. N.° 115-2025-PCM)</w:t>
      </w:r>
    </w:p>
    <w:p>
      <w:pPr>
        <w:pStyle w:val="FirstParagraph"/>
      </w:pPr>
      <w:r>
        <w:t xml:space="preserve">En el ámbito nacional, el Decreto Supremo N.° 115-2025-PCM, publicado en el diario oficial El Peruano el 9 de setiembre de 2025, aprueba el Reglamento de la Ley N.° 31814, Ley que promueve el uso de la inteligencia artificial en favor del desarrollo económico y social del país (PCM, 2025). El Reglamento define el sesgo algorítmico como el error sistemático por el cual un sistema basado en IA toma decisiones injustas, parciales o discriminatorias (art. 6), y establece como principio rector la no discriminación, que exige implementar medidas para prevenir, mitigar y corregir la generación, el reforzamiento o la perpetuación de resultados discriminatorios o sesgados en todas las fases de desarrollo, implementación y uso de estos sistemas (art. 7, literal a) (PCM, 2025).</w:t>
      </w:r>
    </w:p>
    <w:p>
      <w:pPr>
        <w:pStyle w:val="BodyText"/>
      </w:pPr>
      <w:r>
        <w:t xml:space="preserve">De forma análoga al Reglamento europeo, el Reglamento peruano adopta una clasificación basada en riesgos y considera de riesgo alto el uso de sistemas de IA para</w:t>
      </w:r>
      <w:r>
        <w:t xml:space="preserve"> </w:t>
      </w:r>
      <w:r>
        <w:t xml:space="preserve">“determinar la evaluación crediticia de personas”</w:t>
      </w:r>
      <w:r>
        <w:t xml:space="preserve">, salvo que se utilicen para detectar fraude financiero (art. 24.1, literal g) (PCM, 2025). Para los sistemas de riesgo alto, el desarrollador o implementador debe establecer mecanismos de transparencia algorítmica que informen al usuario sobre la finalidad y el tipo de decisiones del sistema (art. 25) y mantener</w:t>
      </w:r>
      <w:r>
        <w:t xml:space="preserve"> </w:t>
      </w:r>
      <w:r>
        <w:t xml:space="preserve">“un registro actualizado y accesible, con enfoque preventivo, sobre los principios del funcionamiento del sistema, las fuentes de datos utilizadas y la lógica del algoritmo”</w:t>
      </w:r>
      <w:r>
        <w:t xml:space="preserve"> </w:t>
      </w:r>
      <w:r>
        <w:t xml:space="preserve">(art. 31.1) (PCM, 2025). Adicionalmente, las organizaciones del sector privado pueden realizar, de manera voluntaria, una evaluación de impacto previa al desarrollo o implementación de sistemas de riesgo alto, que resulta obligatoria para las entidades de la Administración Pública (arts. 30 y 32) (PCM, 2025). Estas exigencias refuerzan la pertinencia de la capa de trazabilidad semántica de la arquitectura propuesta como mecanismo para sostener dicho registro en un contexto de scoring crediticio en el Perú.</w:t>
      </w:r>
    </w:p>
    <w:bookmarkEnd w:id="43"/>
    <w:bookmarkEnd w:id="44"/>
    <w:bookmarkEnd w:id="45"/>
    <w:bookmarkStart w:id="66" w:name="capítulo-3.-estado-del-arte"/>
    <w:p>
      <w:pPr>
        <w:pStyle w:val="Heading1"/>
      </w:pPr>
      <w:r>
        <w:t xml:space="preserve">Capítulo 3. Estado del Arte</w:t>
      </w:r>
    </w:p>
    <w:bookmarkStart w:id="46" w:name="introducción"/>
    <w:p>
      <w:pPr>
        <w:pStyle w:val="Heading2"/>
      </w:pPr>
      <w:r>
        <w:t xml:space="preserve">3.1 Introducción</w:t>
      </w:r>
    </w:p>
    <w:p>
      <w:pPr>
        <w:pStyle w:val="FirstParagraph"/>
      </w:pPr>
      <w:r>
        <w:t xml:space="preserve">El presente capítulo tiene como objetivo revisar y analizar la literatura científica reciente sobre la implementación de la validación de equidad dentro del ciclo de vida del aprendizaje automático. Para estructurar adecuadamente este estado del arte, la introducción se divide en tres enfoques fundamentales: la conceptualización de MLOps como estándar de la industria, las problemáticas previamente abordadas por la comunidad científica, y los vacíos específicos que la presente investigación buscará resolver en el marco de la calidad de software.</w:t>
      </w:r>
    </w:p>
    <w:p>
      <w:pPr>
        <w:pStyle w:val="BodyText"/>
      </w:pPr>
      <w:r>
        <w:t xml:space="preserve">Es fundamental definir el concepto de MLOps (</w:t>
      </w:r>
      <w:r>
        <w:rPr>
          <w:i/>
          <w:iCs/>
        </w:rPr>
        <w:t xml:space="preserve">Machine Learning Operations</w:t>
      </w:r>
      <w:r>
        <w:t xml:space="preserve">). MLOps es una práctica y cultura de la ingeniería que busca unificar el desarrollo y las operaciones de los sistemas de aprendizaje automático, con el objetivo de abogar por la automatización y la supervisión en todos los pasos de la construcción del sistema. En el entorno empresarial, la adopción de MLOps es indispensable para transitar de procesos de validación puramente manuales y aislados —conocidos como Nivel 0 de MLOps— hacia canalizaciones (</w:t>
      </w:r>
      <w:r>
        <w:rPr>
          <w:i/>
          <w:iCs/>
        </w:rPr>
        <w:t xml:space="preserve">pipelines</w:t>
      </w:r>
      <w:r>
        <w:t xml:space="preserve">) robustas que garanticen la Integración Continua (CI), Entrega Continua (CD) y Entrenamiento Continuo (CT) (Kazmierczak et al., 2024; Reda et al., 2025).</w:t>
      </w:r>
    </w:p>
    <w:p>
      <w:pPr>
        <w:pStyle w:val="BodyText"/>
      </w:pPr>
      <w:r>
        <w:t xml:space="preserve">En los últimos años, la investigación del estado del arte en MLOps ha abordado extensamente la gestión del ciclo de vida de los modelos, la reproducibilidad y el despliegue a gran escala mediante el uso de plataformas infraestructurales. Sin embargo, la literatura reciente advierte que gran parte de la investigación debe volcarse a mitigar los</w:t>
      </w:r>
      <w:r>
        <w:t xml:space="preserve"> </w:t>
      </w:r>
      <w:r>
        <w:t xml:space="preserve">“errores de distribución de datos”</w:t>
      </w:r>
      <w:r>
        <w:t xml:space="preserve">, los cuales introducen sesgos técnicos y discriminación de manera silenciosa durante las etapas tempranas de preprocesamiento (Grafberger et al., 2022). Además, se ha evidenciado el desafío de evaluar las canalizaciones como una</w:t>
      </w:r>
      <w:r>
        <w:t xml:space="preserve"> </w:t>
      </w:r>
      <w:r>
        <w:t xml:space="preserve">“caja negra”</w:t>
      </w:r>
      <w:r>
        <w:t xml:space="preserve"> </w:t>
      </w:r>
      <w:r>
        <w:t xml:space="preserve">monolítica, destacando la necesidad de analizar la equidad de forma modular para identificar exactamente qué etapa o componente inyecta el sesgo en el modelo (Biswas &amp; Rajan, 2021). Para mitigar estos riesgos, diversas investigaciones han propuesto herramientas de depuración de datos y métricas de equidad; no obstante, la mayoría de los enfoques actuales siguen concibiendo el cumplimiento ético como auditorías manuales externas o pruebas tardías previas al despliegue, en lugar de intervenciones proactivas y oportunas para evitar la amplificación del sesgo (Vasquez et al., 2024).</w:t>
      </w:r>
    </w:p>
    <w:p>
      <w:pPr>
        <w:pStyle w:val="BodyText"/>
      </w:pPr>
      <w:r>
        <w:t xml:space="preserve">A partir de las limitaciones identificadas en la literatura, esta investigación solucionará las deficiencias metodológicas y arquitectónicas en la integración de la validación continua de equidad como una prueba de aseguramiento de calidad intrínseca, automatizada y auditable dentro del ciclo de vida de MLOps. A diferencia de los enfoques que dependen de validaciones estáticas, este trabajo abordará el problema de diseñar una arquitectura proactiva que implemente compuertas de calidad capaces de interrumpir la canalización de integración continua y bloquear de forma preventiva el despliegue de modelos sesgados (Schelter et al., 2023; Zhu et al., 2025). Adicionalmente, la investigación enfrentará la actual falta de trazabilidad semántica en las herramientas MLOps tradicionales, proponiendo el uso de grafos de conocimiento y ontologías para generar artefactos documentados estandarizados (Russo &amp; Vidal, 2025; Russo et al., 2024). Esta infraestructura documental y de calidad es hoy un requisito indispensable para mitigar riesgos éticos y facilitar el cumplimiento de marcos globales de Gestión de Riesgos de Modelos (Caballar &amp; Stryker, 2024), respondiendo así a las nuevas normativas internacionales, como la Ley de Inteligencia Artificial de la Unión Europea (AI Act), que exige niveles apropiados de robustez, resiliencia y documentación continua para sistemas de IA de alto riesgo (Reglamento IA UE, 2024; Zhu et al., 2025).</w:t>
      </w:r>
    </w:p>
    <w:bookmarkEnd w:id="46"/>
    <w:bookmarkStart w:id="50" w:name="objetivos-de-revisión"/>
    <w:p>
      <w:pPr>
        <w:pStyle w:val="Heading2"/>
      </w:pPr>
      <w:r>
        <w:t xml:space="preserve">3.2 Objetivos de revisión</w:t>
      </w:r>
    </w:p>
    <w:p>
      <w:pPr>
        <w:pStyle w:val="FirstParagraph"/>
      </w:pPr>
      <w:r>
        <w:t xml:space="preserve">El objetivo de esta revisión sistemática es identificar, analizar y comparar las arquitecturas y marcos de trabajo MLOps más relevantes aplicados a la validación continua de equidad en modelos predictivos supervisados. La revisión se orienta a sintetizar la evidencia empírica disponible sobre las estrategias de integración continua, los mecanismos de control de calidad temprana y la trazabilidad documental, con el fin de detectar las limitaciones de los enfoques tradicionales y fundamentar técnica y metodológicamente la propuesta arquitectónica de esta investigación. Para alcanzar este propósito general, se plantean los siguientes objetivos específicos de revisión:</w:t>
      </w:r>
    </w:p>
    <w:p>
      <w:pPr>
        <w:pStyle w:val="Compact"/>
        <w:numPr>
          <w:ilvl w:val="0"/>
          <w:numId w:val="1015"/>
        </w:numPr>
      </w:pPr>
      <w:r>
        <w:t xml:space="preserve">Revisar los procesos tradicionales de validación de modelos de aprendizaje automático, identificando sus ineficiencias y limitaciones estructurales para la detección proactiva de sesgos algorítmicos.</w:t>
      </w:r>
    </w:p>
    <w:p>
      <w:pPr>
        <w:pStyle w:val="Compact"/>
        <w:numPr>
          <w:ilvl w:val="0"/>
          <w:numId w:val="1015"/>
        </w:numPr>
      </w:pPr>
      <w:r>
        <w:t xml:space="preserve">Examinar las arquitecturas y patrones de diseño MLOps actuales que incorporan la evaluación de equidad de manera modular, evaluando su impacto en la automatización frente a los enfoques de</w:t>
      </w:r>
      <w:r>
        <w:t xml:space="preserve"> </w:t>
      </w:r>
      <w:r>
        <w:t xml:space="preserve">“caja negra”</w:t>
      </w:r>
      <w:r>
        <w:t xml:space="preserve">.</w:t>
      </w:r>
    </w:p>
    <w:p>
      <w:pPr>
        <w:pStyle w:val="Compact"/>
        <w:numPr>
          <w:ilvl w:val="0"/>
          <w:numId w:val="1015"/>
        </w:numPr>
      </w:pPr>
      <w:r>
        <w:t xml:space="preserve">Analizar la implementación de compuertas de calidad y marcos de pruebas de estrés automatizados dentro de la canalización de integración continua orientados a bloquear el despliegue de modelos sesgados.</w:t>
      </w:r>
    </w:p>
    <w:p>
      <w:pPr>
        <w:pStyle w:val="Compact"/>
        <w:numPr>
          <w:ilvl w:val="0"/>
          <w:numId w:val="1015"/>
        </w:numPr>
      </w:pPr>
      <w:r>
        <w:t xml:space="preserve">Identificar las herramientas de monitoreo continuo y trazabilidad semántica (basadas en grafos de conocimiento u ontologías) utilizadas en la literatura para registrar el ciclo de vida del modelo y generar documentación auditable orientada al cumplimiento normativo.</w:t>
      </w:r>
    </w:p>
    <w:p>
      <w:pPr>
        <w:pStyle w:val="FirstParagraph"/>
        <w:jc w:val="center"/>
      </w:pPr>
      <w:r>
        <w:drawing>
          <wp:inline>
            <wp:extent cx="5727700" cy="4150345"/>
            <wp:effectExtent b="0" l="0" r="0" t="0"/>
            <wp:docPr descr="Figura 2: Arquitectura del sistema (Nivel 2 de Diagrama C4)" title="" id="48" name="Picture"/>
            <a:graphic>
              <a:graphicData uri="http://schemas.openxmlformats.org/drawingml/2006/picture">
                <pic:pic>
                  <pic:nvPicPr>
                    <pic:cNvPr descr="C:/Users/a2020/Documents/Tesis/Base%20de%20conocimiento/imagenes/fig02-arquitectura-c4-nivel2-estado-del-arte.png" id="49" name="Picture"/>
                    <pic:cNvPicPr>
                      <a:picLocks noChangeArrowheads="1" noChangeAspect="1"/>
                    </pic:cNvPicPr>
                  </pic:nvPicPr>
                  <pic:blipFill>
                    <a:blip r:embed="rId47"/>
                    <a:stretch>
                      <a:fillRect/>
                    </a:stretch>
                  </pic:blipFill>
                  <pic:spPr bwMode="auto">
                    <a:xfrm>
                      <a:off x="0" y="0"/>
                      <a:ext cx="5727700" cy="4150345"/>
                    </a:xfrm>
                    <a:prstGeom prst="rect">
                      <a:avLst/>
                    </a:prstGeom>
                    <a:noFill/>
                    <a:ln w="9525">
                      <a:noFill/>
                      <a:headEnd/>
                      <a:tailEnd/>
                    </a:ln>
                  </pic:spPr>
                </pic:pic>
              </a:graphicData>
            </a:graphic>
          </wp:inline>
        </w:drawing>
      </w:r>
    </w:p>
    <w:p>
      <w:pPr>
        <w:pStyle w:val="BodyText"/>
        <w:keepNext w:val="0"/>
        <w:jc w:val="center"/>
      </w:pPr>
      <w:r>
        <w:rPr>
          <w:b/>
          <w:bCs/>
        </w:rPr>
        <w:t xml:space="preserve">Figura 2: Arquitectura del sistema (Nivel 2 de Diagrama C4)</w:t>
      </w:r>
    </w:p>
    <w:p>
      <w:pPr>
        <w:pStyle w:val="BodyText"/>
      </w:pPr>
      <w:r>
        <w:rPr>
          <w:rStyle w:val="Pendiente"/>
        </w:rPr>
        <w:t xml:space="preserve">PENDIENTE: esta figura corresponde al diseño anterior; reemplazarla por la Figura 5 o retirarla.</w:t>
      </w:r>
    </w:p>
    <w:p>
      <w:pPr>
        <w:pStyle w:val="BodyText"/>
      </w:pPr>
      <w:r>
        <w:t xml:space="preserve">:** esta figura es una versión del diagrama de contenedores distinta a la Figura 5 del Capítulo 4 (aquí no aparece el</w:t>
      </w:r>
      <w:r>
        <w:t xml:space="preserve"> </w:t>
      </w:r>
      <w:r>
        <w:t xml:space="preserve">“Canal de Linaje — MLflow”</w:t>
      </w:r>
      <w:r>
        <w:t xml:space="preserve">; el linaje se dibuja como una línea</w:t>
      </w:r>
      <w:r>
        <w:t xml:space="preserve"> </w:t>
      </w:r>
      <w:r>
        <w:t xml:space="preserve">“Linaje continuo”</w:t>
      </w:r>
      <w:r>
        <w:t xml:space="preserve"> </w:t>
      </w:r>
      <w:r>
        <w:t xml:space="preserve">desde las Zonas 1–3 hacia la Zona 4). Texto de la figura: Zona 1</w:t>
      </w:r>
      <w:r>
        <w:t xml:space="preserve"> </w:t>
      </w:r>
      <w:r>
        <w:t xml:space="preserve">“Python - Pandas - Pandera - DVC”</w:t>
      </w:r>
      <w:r>
        <w:t xml:space="preserve">; Zona 2</w:t>
      </w:r>
      <w:r>
        <w:t xml:space="preserve"> </w:t>
      </w:r>
      <w:r>
        <w:t xml:space="preserve">“Scikit-learn - MLFlow - Pytest - AIF360 - Fairlearn”</w:t>
      </w:r>
      <w:r>
        <w:t xml:space="preserve">; Zona 3</w:t>
      </w:r>
      <w:r>
        <w:t xml:space="preserve"> </w:t>
      </w:r>
      <w:r>
        <w:t xml:space="preserve">“Github Actions - MLFlow - Evidently AI”</w:t>
      </w:r>
      <w:r>
        <w:t xml:space="preserve">; Zona 4</w:t>
      </w:r>
      <w:r>
        <w:t xml:space="preserve"> </w:t>
      </w:r>
      <w:r>
        <w:t xml:space="preserve">“InterpretME + RDF + GraphDB + SPARQL”</w:t>
      </w:r>
      <w:r>
        <w:t xml:space="preserve">.</w:t>
      </w:r>
    </w:p>
    <w:bookmarkEnd w:id="50"/>
    <w:bookmarkStart w:id="51" w:name="preguntas-de-revisión"/>
    <w:p>
      <w:pPr>
        <w:pStyle w:val="Heading2"/>
      </w:pPr>
      <w:r>
        <w:t xml:space="preserve">3.3 Preguntas de revisión</w:t>
      </w:r>
    </w:p>
    <w:p>
      <w:pPr>
        <w:pStyle w:val="FirstParagraph"/>
      </w:pPr>
      <w:r>
        <w:t xml:space="preserve">Como medida para estructurar el planteamiento de la revisión sistemática, se presenta a continuación el conjunto de preguntas que guiarán la investigación. La formulación de estas preguntas se deriva directamente del objetivo de revisión planteado en la sección anterior.</w:t>
      </w:r>
    </w:p>
    <w:p>
      <w:pPr>
        <w:pStyle w:val="BodyText"/>
      </w:pPr>
      <w:r>
        <w:t xml:space="preserve">Para asegurar una estructura clara y delimitar con precisión el alcance de la búsqueda bibliográfica, la formulación se ha guiado por los criterios del marco PICOC (Petticrew &amp; Roberts, 2006) y se puede observar en la Tabla 6.</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2973"/>
        <w:gridCol w:w="6041"/>
      </w:tblGrid>
      <w:tr>
        <w:trPr>
          <w:tblHeader w:val="on"/>
          <w:tblHeader w:val="true"/>
        </w:trPr>
        <w:tc>
          <w:tcPr>
            <w:tcW w:type="dxa" w:w="2973"/>
          </w:tcPr>
          <w:p>
            <w:pPr>
              <w:pStyle w:val="Compact"/>
              <w:spacing w:after="40"/>
              <w:jc w:val="left"/>
            </w:pPr>
            <w:r>
              <w:rPr>
                <w:b/>
                <w:sz w:val="22"/>
              </w:rPr>
              <w:t xml:space="preserve">Metodología</w:t>
            </w:r>
          </w:p>
        </w:tc>
        <w:tc>
          <w:tcPr>
            <w:tcW w:type="dxa" w:w="6041"/>
          </w:tcPr>
          <w:p>
            <w:pPr>
              <w:pStyle w:val="Compact"/>
              <w:spacing w:after="40"/>
              <w:jc w:val="left"/>
            </w:pPr>
            <w:r>
              <w:rPr>
                <w:b/>
                <w:sz w:val="22"/>
              </w:rPr>
              <w:t xml:space="preserve">Descripción</w:t>
            </w:r>
          </w:p>
        </w:tc>
      </w:tr>
      <w:tr>
        <w:tc>
          <w:tcPr>
            <w:tcW w:type="dxa" w:w="2973"/>
          </w:tcPr>
          <w:p>
            <w:pPr>
              <w:pStyle w:val="Compact"/>
              <w:spacing w:after="40"/>
              <w:jc w:val="left"/>
            </w:pPr>
            <w:r>
              <w:rPr>
                <w:b/>
                <w:bCs/>
                <w:sz w:val="22"/>
              </w:rPr>
              <w:t xml:space="preserve">Población</w:t>
            </w:r>
          </w:p>
        </w:tc>
        <w:tc>
          <w:tcPr>
            <w:tcW w:type="dxa" w:w="6041"/>
          </w:tcPr>
          <w:p>
            <w:pPr>
              <w:pStyle w:val="Compact"/>
              <w:spacing w:after="40"/>
              <w:jc w:val="left"/>
            </w:pPr>
            <w:r>
              <w:rPr>
                <w:sz w:val="22"/>
              </w:rPr>
              <w:t xml:space="preserve">Modelos de Aprendizaje Supervisado en entornos de producción y flujos de trabajo MLOps.</w:t>
            </w:r>
          </w:p>
        </w:tc>
      </w:tr>
      <w:tr>
        <w:tc>
          <w:tcPr>
            <w:tcW w:type="dxa" w:w="2973"/>
          </w:tcPr>
          <w:p>
            <w:pPr>
              <w:pStyle w:val="Compact"/>
              <w:spacing w:after="40"/>
              <w:jc w:val="left"/>
            </w:pPr>
            <w:r>
              <w:rPr>
                <w:b/>
                <w:bCs/>
                <w:sz w:val="22"/>
              </w:rPr>
              <w:t xml:space="preserve">Intervención</w:t>
            </w:r>
          </w:p>
        </w:tc>
        <w:tc>
          <w:tcPr>
            <w:tcW w:type="dxa" w:w="6041"/>
          </w:tcPr>
          <w:p>
            <w:pPr>
              <w:pStyle w:val="Compact"/>
              <w:spacing w:after="40"/>
              <w:jc w:val="left"/>
            </w:pPr>
            <w:r>
              <w:rPr>
                <w:sz w:val="22"/>
              </w:rPr>
              <w:t xml:space="preserve">La implementación de arquitecturas o herramientas de validación continua de equidad automatizada dentro del pipeline de MLOps.</w:t>
            </w:r>
          </w:p>
        </w:tc>
      </w:tr>
      <w:tr>
        <w:tc>
          <w:tcPr>
            <w:tcW w:type="dxa" w:w="2973"/>
          </w:tcPr>
          <w:p>
            <w:pPr>
              <w:pStyle w:val="Compact"/>
              <w:spacing w:after="40"/>
              <w:jc w:val="left"/>
            </w:pPr>
            <w:r>
              <w:rPr>
                <w:b/>
                <w:bCs/>
                <w:sz w:val="22"/>
              </w:rPr>
              <w:t xml:space="preserve">Comparación</w:t>
            </w:r>
          </w:p>
        </w:tc>
        <w:tc>
          <w:tcPr>
            <w:tcW w:type="dxa" w:w="6041"/>
          </w:tcPr>
          <w:p>
            <w:pPr>
              <w:pStyle w:val="Compact"/>
              <w:spacing w:after="40"/>
              <w:jc w:val="left"/>
            </w:pPr>
            <w:r>
              <w:rPr>
                <w:sz w:val="22"/>
              </w:rPr>
              <w:t xml:space="preserve">Los métodos de auditoría tradicionales.</w:t>
            </w:r>
          </w:p>
        </w:tc>
      </w:tr>
      <w:tr>
        <w:tc>
          <w:tcPr>
            <w:tcW w:type="dxa" w:w="2973"/>
          </w:tcPr>
          <w:p>
            <w:pPr>
              <w:pStyle w:val="Compact"/>
              <w:spacing w:after="40"/>
              <w:jc w:val="left"/>
            </w:pPr>
            <w:r>
              <w:rPr>
                <w:b/>
                <w:bCs/>
                <w:sz w:val="22"/>
              </w:rPr>
              <w:t xml:space="preserve">Resultado</w:t>
            </w:r>
          </w:p>
        </w:tc>
        <w:tc>
          <w:tcPr>
            <w:tcW w:type="dxa" w:w="6041"/>
          </w:tcPr>
          <w:p>
            <w:pPr>
              <w:pStyle w:val="Compact"/>
              <w:spacing w:after="40"/>
              <w:jc w:val="left"/>
            </w:pPr>
            <w:r>
              <w:rPr>
                <w:sz w:val="22"/>
              </w:rPr>
              <w:t xml:space="preserve">La efectividad, medida en términos de capacidad de detección de sesgos, automatización del proceso de calidad y mitigación de riesgos éticos antes y después del despliegue.</w:t>
            </w:r>
          </w:p>
        </w:tc>
      </w:tr>
      <w:tr>
        <w:tc>
          <w:tcPr>
            <w:tcW w:type="dxa" w:w="2973"/>
          </w:tcPr>
          <w:p>
            <w:pPr>
              <w:pStyle w:val="Compact"/>
              <w:spacing w:after="40"/>
              <w:jc w:val="left"/>
            </w:pPr>
            <w:r>
              <w:rPr>
                <w:b/>
                <w:bCs/>
                <w:sz w:val="22"/>
              </w:rPr>
              <w:t xml:space="preserve">Contexto</w:t>
            </w:r>
          </w:p>
        </w:tc>
        <w:tc>
          <w:tcPr>
            <w:tcW w:type="dxa" w:w="6041"/>
          </w:tcPr>
          <w:p>
            <w:pPr>
              <w:pStyle w:val="Compact"/>
              <w:spacing w:after="40"/>
              <w:jc w:val="left"/>
            </w:pPr>
            <w:r>
              <w:rPr>
                <w:sz w:val="22"/>
              </w:rPr>
              <w:t xml:space="preserve">En el ámbito del desarrollo de software y ciencia de datos, aplicable a organizaciones que despliegan modelos de IA, con énfasis en sectores regulados o de impacto social.</w:t>
            </w:r>
          </w:p>
        </w:tc>
      </w:tr>
    </w:tbl>
    <w:p>
      <w:pPr>
        <w:pStyle w:val="BodyText"/>
        <w:keepNext w:val="0"/>
        <w:jc w:val="center"/>
      </w:pPr>
      <w:r>
        <w:rPr>
          <w:b/>
          <w:bCs/>
        </w:rPr>
        <w:t xml:space="preserve">Tabla 6</w:t>
      </w:r>
      <w:r>
        <w:t xml:space="preserve"> </w:t>
      </w:r>
      <w:r>
        <w:t xml:space="preserve">Criterios Generales PICOC</w:t>
      </w:r>
    </w:p>
    <w:p>
      <w:pPr>
        <w:pStyle w:val="BodyText"/>
      </w:pPr>
      <w:r>
        <w:t xml:space="preserve">De este modo, a partir de los resultados de la Tabla 6 se plantean las siguientes preguntas de revisión:</w:t>
      </w:r>
    </w:p>
    <w:p>
      <w:pPr>
        <w:pStyle w:val="Compact"/>
        <w:numPr>
          <w:ilvl w:val="0"/>
          <w:numId w:val="1016"/>
        </w:numPr>
      </w:pPr>
      <w:r>
        <w:t xml:space="preserve">¿Qué problemas o ineficiencias clave enfrentan los procesos tradicionales de validación de modelos (auditorías manuales o desconectadas del flujo de desarrollo) en la detección de sesgos en Machine Learning?</w:t>
      </w:r>
    </w:p>
    <w:p>
      <w:pPr>
        <w:pStyle w:val="Compact"/>
        <w:numPr>
          <w:ilvl w:val="0"/>
          <w:numId w:val="1016"/>
        </w:numPr>
      </w:pPr>
      <w:r>
        <w:t xml:space="preserve">¿Qué arquitecturas, herramientas y patrones de diseño MLOps existen actualmente para la validación de equidad, y cómo facilitan la detección proactiva y la evaluación modular frente a los enfoques tradicionales de</w:t>
      </w:r>
      <w:r>
        <w:t xml:space="preserve"> </w:t>
      </w:r>
      <w:r>
        <w:t xml:space="preserve">“caja negra”</w:t>
      </w:r>
      <w:r>
        <w:t xml:space="preserve">?</w:t>
      </w:r>
    </w:p>
    <w:p>
      <w:pPr>
        <w:pStyle w:val="Compact"/>
        <w:numPr>
          <w:ilvl w:val="0"/>
          <w:numId w:val="1016"/>
        </w:numPr>
      </w:pPr>
      <w:r>
        <w:t xml:space="preserve">¿Qué mecanismos de control de calidad (QA Gates) y monitoreo continuo se implementan en las arquitecturas MLOps para bloquear el despliegue de modelos sesgados y mitigar la deriva de sesgo (</w:t>
      </w:r>
      <w:r>
        <w:rPr>
          <w:i/>
          <w:iCs/>
        </w:rPr>
        <w:t xml:space="preserve">bias drift</w:t>
      </w:r>
      <w:r>
        <w:t xml:space="preserve">) en producción?</w:t>
      </w:r>
    </w:p>
    <w:p>
      <w:pPr>
        <w:pStyle w:val="Compact"/>
        <w:numPr>
          <w:ilvl w:val="0"/>
          <w:numId w:val="1016"/>
        </w:numPr>
      </w:pPr>
      <w:r>
        <w:t xml:space="preserve">¿Qué desafíos técnicos y de interoperabilidad presentan las herramientas de validación de equidad para integrarse en pipelines MLOps empresariales, y cómo abordan la trazabilidad semántica para la generación de documentación auditable?</w:t>
      </w:r>
    </w:p>
    <w:bookmarkEnd w:id="51"/>
    <w:bookmarkStart w:id="54" w:name="protocolo-de-búsqueda"/>
    <w:p>
      <w:pPr>
        <w:pStyle w:val="Heading2"/>
      </w:pPr>
      <w:r>
        <w:t xml:space="preserve">3.4 Protocolo de búsqueda</w:t>
      </w:r>
    </w:p>
    <w:p>
      <w:pPr>
        <w:pStyle w:val="FirstParagraph"/>
      </w:pPr>
      <w:r>
        <w:t xml:space="preserve">El protocolo de búsqueda a seguir plantea la identificación y selección sistemática de documentos (artículos de conferencia y revistas científicas) que estén relacionados con el estado actual de las arquitecturas para la validación de equidad en flujos de trabajo de Machine Learning (MLOps).</w:t>
      </w:r>
    </w:p>
    <w:p>
      <w:pPr>
        <w:pStyle w:val="BodyText"/>
      </w:pPr>
      <w:r>
        <w:t xml:space="preserve">Para construir las cadenas de búsqueda, se utilizaron los términos y conceptos clave definidos en el marco PICOC (Petticrew &amp; Roberts, 2006) de la sección anterior. Este método permitió desglosar el problema en sus componentes principales (Población, Intervención, Comparación, Outcome) para derivar sinónimos y términos de búsqueda relevantes en idioma inglés y español, asegurando una cobertura amplia de la literatura técnica y científica.</w:t>
      </w:r>
    </w:p>
    <w:p>
      <w:pPr>
        <w:pStyle w:val="BodyText"/>
      </w:pPr>
      <w:r>
        <w:t xml:space="preserve">El proceso se detalla en las siguientes sub-secciones, describiendo los motores de búsqueda seleccionados por su relevancia académica y las cadenas de búsqueda específicas empleadas para cada uno.</w:t>
      </w:r>
    </w:p>
    <w:bookmarkStart w:id="52" w:name="motores-de-búsqueda"/>
    <w:p>
      <w:pPr>
        <w:pStyle w:val="Heading3"/>
      </w:pPr>
      <w:r>
        <w:t xml:space="preserve">3.4.1 Motores de búsqueda</w:t>
      </w:r>
    </w:p>
    <w:p>
      <w:pPr>
        <w:pStyle w:val="FirstParagraph"/>
      </w:pPr>
      <w:r>
        <w:t xml:space="preserve">Para la elección de los motores de búsqueda, se selecciona un subconjunto de bases de datos como medio para optar por la documentación necesaria durante el proceso de revisión sistemática. Las bases de datos elegidas fueron:</w:t>
      </w:r>
    </w:p>
    <w:p>
      <w:pPr>
        <w:pStyle w:val="Compact"/>
        <w:numPr>
          <w:ilvl w:val="0"/>
          <w:numId w:val="1017"/>
        </w:numPr>
      </w:pPr>
      <w:r>
        <w:rPr>
          <w:b/>
          <w:bCs/>
        </w:rPr>
        <w:t xml:space="preserve">Scopus</w:t>
      </w:r>
      <w:r>
        <w:t xml:space="preserve"> </w:t>
      </w:r>
      <w:r>
        <w:t xml:space="preserve">(https://www.scopus.com): Se selecciona esta base de datos por ser uno de los mayores repositorios multidisciplinarios de resúmenes y citas de literatura científica revisada por pares. Su relevancia radica en que indexa una gran cantidad de conferencias y revistas de alto impacto, permitiendo una visión global del estado del arte.</w:t>
      </w:r>
    </w:p>
    <w:p>
      <w:pPr>
        <w:pStyle w:val="Compact"/>
        <w:numPr>
          <w:ilvl w:val="0"/>
          <w:numId w:val="1017"/>
        </w:numPr>
      </w:pPr>
      <w:r>
        <w:rPr>
          <w:b/>
          <w:bCs/>
        </w:rPr>
        <w:t xml:space="preserve">IEEE Xplore</w:t>
      </w:r>
      <w:r>
        <w:t xml:space="preserve"> </w:t>
      </w:r>
      <w:r>
        <w:t xml:space="preserve">(https://ieeexplore.ieee.org): Se incluye esta biblioteca digital por ser la fuente más prestigiosa en los campos de ingeniería eléctrica, ciencias de la computación y electrónica. Dado que el enfoque de la tesis es la arquitectura de software (MLOps), esta base es crítica para encontrar estándares técnicos y estudios de implementación recientes.</w:t>
      </w:r>
    </w:p>
    <w:p>
      <w:pPr>
        <w:pStyle w:val="Compact"/>
        <w:numPr>
          <w:ilvl w:val="0"/>
          <w:numId w:val="1017"/>
        </w:numPr>
      </w:pPr>
      <w:r>
        <w:rPr>
          <w:b/>
          <w:bCs/>
        </w:rPr>
        <w:t xml:space="preserve">Google Académico</w:t>
      </w:r>
      <w:r>
        <w:t xml:space="preserve"> </w:t>
      </w:r>
      <w:r>
        <w:t xml:space="preserve">(https://scholar.google.com/): Se utilizará como un motor de búsqueda complementario. Su amplio índice es útil para capturar</w:t>
      </w:r>
      <w:r>
        <w:t xml:space="preserve"> </w:t>
      </w:r>
      <w:r>
        <w:t xml:space="preserve">“literatura gris”</w:t>
      </w:r>
      <w:r>
        <w:t xml:space="preserve"> </w:t>
      </w:r>
      <w:r>
        <w:t xml:space="preserve">(como reportes técnicos o pre-prints) y estudios en español que podrían no estar indexados en las bases de alto impacto.</w:t>
      </w:r>
    </w:p>
    <w:bookmarkEnd w:id="52"/>
    <w:bookmarkStart w:id="53" w:name="cadenas-de-búsqueda-a-usar"/>
    <w:p>
      <w:pPr>
        <w:pStyle w:val="Heading3"/>
      </w:pPr>
      <w:r>
        <w:t xml:space="preserve">3.4.2 Cadenas de búsqueda a usar</w:t>
      </w:r>
    </w:p>
    <w:p>
      <w:pPr>
        <w:pStyle w:val="FirstParagraph"/>
      </w:pPr>
      <w:r>
        <w:t xml:space="preserve">A partir del marco PICOC (Petticrew &amp; Roberts, 2006) definido en la sección anterior, se tomaron en cuenta los componentes de la investigación para seleccionar los términos clave en español e inglés. Esto aborda la necesidad de un proceso explícito para derivar los términos de búsqueda, tal como se muestra en la Tabla 7.</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2461"/>
        <w:gridCol w:w="3183"/>
        <w:gridCol w:w="3368"/>
      </w:tblGrid>
      <w:tr>
        <w:trPr>
          <w:tblHeader w:val="on"/>
          <w:tblHeader w:val="true"/>
        </w:trPr>
        <w:tc>
          <w:tcPr>
            <w:tcW w:type="dxa" w:w="2462"/>
          </w:tcPr>
          <w:p>
            <w:pPr>
              <w:pStyle w:val="Compact"/>
              <w:spacing w:after="40"/>
              <w:jc w:val="left"/>
            </w:pPr>
            <w:r>
              <w:rPr>
                <w:b/>
                <w:sz w:val="22"/>
              </w:rPr>
              <w:t xml:space="preserve">Metodología</w:t>
            </w:r>
          </w:p>
        </w:tc>
        <w:tc>
          <w:tcPr>
            <w:tcW w:type="dxa" w:w="3184"/>
          </w:tcPr>
          <w:p>
            <w:pPr>
              <w:pStyle w:val="Compact"/>
              <w:spacing w:after="40"/>
              <w:jc w:val="left"/>
            </w:pPr>
            <w:r>
              <w:rPr>
                <w:b/>
                <w:sz w:val="22"/>
              </w:rPr>
              <w:t xml:space="preserve">Palabras clave en español</w:t>
            </w:r>
          </w:p>
        </w:tc>
        <w:tc>
          <w:tcPr>
            <w:tcW w:type="dxa" w:w="3369"/>
          </w:tcPr>
          <w:p>
            <w:pPr>
              <w:pStyle w:val="Compact"/>
              <w:spacing w:after="40"/>
              <w:jc w:val="left"/>
            </w:pPr>
            <w:r>
              <w:rPr>
                <w:b/>
                <w:sz w:val="22"/>
              </w:rPr>
              <w:t xml:space="preserve">Palabras clave en inglés</w:t>
            </w:r>
          </w:p>
        </w:tc>
      </w:tr>
      <w:tr>
        <w:tc>
          <w:tcPr>
            <w:tcW w:type="dxa" w:w="2462"/>
          </w:tcPr>
          <w:p>
            <w:pPr>
              <w:pStyle w:val="Compact"/>
              <w:spacing w:after="40"/>
              <w:jc w:val="left"/>
            </w:pPr>
            <w:r>
              <w:rPr>
                <w:b/>
                <w:bCs/>
                <w:sz w:val="22"/>
              </w:rPr>
              <w:t xml:space="preserve">Población</w:t>
            </w:r>
          </w:p>
        </w:tc>
        <w:tc>
          <w:tcPr>
            <w:tcW w:type="dxa" w:w="3184"/>
          </w:tcPr>
          <w:p>
            <w:pPr>
              <w:pStyle w:val="Compact"/>
              <w:spacing w:after="40"/>
              <w:jc w:val="left"/>
            </w:pPr>
            <w:r>
              <w:rPr>
                <w:sz w:val="22"/>
              </w:rPr>
              <w:t xml:space="preserve">“Operaciones de Aprendizaje de Máquina”</w:t>
            </w:r>
            <w:r>
              <w:rPr>
                <w:sz w:val="22"/>
              </w:rPr>
              <w:t xml:space="preserve">,</w:t>
            </w:r>
            <w:r>
              <w:rPr>
                <w:sz w:val="22"/>
              </w:rPr>
              <w:t xml:space="preserve"> </w:t>
            </w:r>
            <w:r>
              <w:rPr>
                <w:sz w:val="22"/>
              </w:rPr>
              <w:t xml:space="preserve">“Aprendizaje Supervisado”</w:t>
            </w:r>
            <w:r>
              <w:rPr>
                <w:sz w:val="22"/>
              </w:rPr>
              <w:t xml:space="preserve">,</w:t>
            </w:r>
            <w:r>
              <w:rPr>
                <w:sz w:val="22"/>
              </w:rPr>
              <w:t xml:space="preserve"> </w:t>
            </w:r>
            <w:r>
              <w:rPr>
                <w:sz w:val="22"/>
              </w:rPr>
              <w:t xml:space="preserve">“flujo MLOps”</w:t>
            </w:r>
          </w:p>
        </w:tc>
        <w:tc>
          <w:tcPr>
            <w:tcW w:type="dxa" w:w="3369"/>
          </w:tcPr>
          <w:p>
            <w:pPr>
              <w:pStyle w:val="Compact"/>
              <w:spacing w:after="40"/>
              <w:jc w:val="left"/>
            </w:pPr>
            <w:r>
              <w:rPr>
                <w:sz w:val="22"/>
              </w:rPr>
              <w:t xml:space="preserve">“Machine Learning operations”</w:t>
            </w:r>
            <w:r>
              <w:rPr>
                <w:sz w:val="22"/>
              </w:rPr>
              <w:t xml:space="preserve">,</w:t>
            </w:r>
            <w:r>
              <w:rPr>
                <w:sz w:val="22"/>
              </w:rPr>
              <w:t xml:space="preserve"> </w:t>
            </w:r>
            <w:r>
              <w:rPr>
                <w:sz w:val="22"/>
              </w:rPr>
              <w:t xml:space="preserve">“MLOps”</w:t>
            </w:r>
            <w:r>
              <w:rPr>
                <w:sz w:val="22"/>
              </w:rPr>
              <w:t xml:space="preserve">,</w:t>
            </w:r>
            <w:r>
              <w:rPr>
                <w:sz w:val="22"/>
              </w:rPr>
              <w:t xml:space="preserve"> </w:t>
            </w:r>
            <w:r>
              <w:rPr>
                <w:sz w:val="22"/>
              </w:rPr>
              <w:t xml:space="preserve">“Supervised Learning”</w:t>
            </w:r>
            <w:r>
              <w:rPr>
                <w:sz w:val="22"/>
              </w:rPr>
              <w:t xml:space="preserve">,</w:t>
            </w:r>
            <w:r>
              <w:rPr>
                <w:sz w:val="22"/>
              </w:rPr>
              <w:t xml:space="preserve"> </w:t>
            </w:r>
            <w:r>
              <w:rPr>
                <w:sz w:val="22"/>
              </w:rPr>
              <w:t xml:space="preserve">“MLOps pipeline”</w:t>
            </w:r>
          </w:p>
        </w:tc>
      </w:tr>
      <w:tr>
        <w:tc>
          <w:tcPr>
            <w:tcW w:type="dxa" w:w="2462"/>
          </w:tcPr>
          <w:p>
            <w:pPr>
              <w:pStyle w:val="Compact"/>
              <w:spacing w:after="40"/>
              <w:jc w:val="left"/>
            </w:pPr>
            <w:r>
              <w:rPr>
                <w:b/>
                <w:bCs/>
                <w:sz w:val="22"/>
              </w:rPr>
              <w:t xml:space="preserve">Intervención</w:t>
            </w:r>
          </w:p>
        </w:tc>
        <w:tc>
          <w:tcPr>
            <w:tcW w:type="dxa" w:w="3184"/>
          </w:tcPr>
          <w:p>
            <w:pPr>
              <w:pStyle w:val="Compact"/>
              <w:spacing w:after="40"/>
              <w:jc w:val="left"/>
            </w:pPr>
            <w:r>
              <w:rPr>
                <w:sz w:val="22"/>
              </w:rPr>
              <w:t xml:space="preserve">“Validación de equidad”</w:t>
            </w:r>
            <w:r>
              <w:rPr>
                <w:sz w:val="22"/>
              </w:rPr>
              <w:t xml:space="preserve">,</w:t>
            </w:r>
            <w:r>
              <w:rPr>
                <w:sz w:val="22"/>
              </w:rPr>
              <w:t xml:space="preserve"> </w:t>
            </w:r>
            <w:r>
              <w:rPr>
                <w:sz w:val="22"/>
              </w:rPr>
              <w:t xml:space="preserve">“Detección de sesgos”</w:t>
            </w:r>
            <w:r>
              <w:rPr>
                <w:sz w:val="22"/>
              </w:rPr>
              <w:t xml:space="preserve">,</w:t>
            </w:r>
            <w:r>
              <w:rPr>
                <w:sz w:val="22"/>
              </w:rPr>
              <w:t xml:space="preserve"> </w:t>
            </w:r>
            <w:r>
              <w:rPr>
                <w:sz w:val="22"/>
              </w:rPr>
              <w:t xml:space="preserve">“Auditoría algorítmica”</w:t>
            </w:r>
          </w:p>
        </w:tc>
        <w:tc>
          <w:tcPr>
            <w:tcW w:type="dxa" w:w="3369"/>
          </w:tcPr>
          <w:p>
            <w:pPr>
              <w:pStyle w:val="Compact"/>
              <w:spacing w:after="40"/>
              <w:jc w:val="left"/>
            </w:pPr>
            <w:r>
              <w:rPr>
                <w:sz w:val="22"/>
              </w:rPr>
              <w:t xml:space="preserve">“Fairness validation”</w:t>
            </w:r>
            <w:r>
              <w:rPr>
                <w:sz w:val="22"/>
              </w:rPr>
              <w:t xml:space="preserve">,</w:t>
            </w:r>
            <w:r>
              <w:rPr>
                <w:sz w:val="22"/>
              </w:rPr>
              <w:t xml:space="preserve"> </w:t>
            </w:r>
            <w:r>
              <w:rPr>
                <w:sz w:val="22"/>
              </w:rPr>
              <w:t xml:space="preserve">“Bias detection”</w:t>
            </w:r>
            <w:r>
              <w:rPr>
                <w:sz w:val="22"/>
              </w:rPr>
              <w:t xml:space="preserve">,</w:t>
            </w:r>
            <w:r>
              <w:rPr>
                <w:sz w:val="22"/>
              </w:rPr>
              <w:t xml:space="preserve"> </w:t>
            </w:r>
            <w:r>
              <w:rPr>
                <w:sz w:val="22"/>
              </w:rPr>
              <w:t xml:space="preserve">“Algorithmic auditing”</w:t>
            </w:r>
            <w:r>
              <w:rPr>
                <w:sz w:val="22"/>
              </w:rPr>
              <w:t xml:space="preserve">,</w:t>
            </w:r>
            <w:r>
              <w:rPr>
                <w:sz w:val="22"/>
              </w:rPr>
              <w:t xml:space="preserve"> </w:t>
            </w:r>
            <w:r>
              <w:rPr>
                <w:sz w:val="22"/>
              </w:rPr>
              <w:t xml:space="preserve">“performance evaluation”</w:t>
            </w:r>
          </w:p>
        </w:tc>
      </w:tr>
      <w:tr>
        <w:tc>
          <w:tcPr>
            <w:tcW w:type="dxa" w:w="2462"/>
          </w:tcPr>
          <w:p>
            <w:pPr>
              <w:pStyle w:val="Compact"/>
              <w:spacing w:after="40"/>
              <w:jc w:val="left"/>
            </w:pPr>
            <w:r>
              <w:rPr>
                <w:b/>
                <w:bCs/>
                <w:sz w:val="22"/>
              </w:rPr>
              <w:t xml:space="preserve">Comparación</w:t>
            </w:r>
          </w:p>
        </w:tc>
        <w:tc>
          <w:tcPr>
            <w:tcW w:type="dxa" w:w="3184"/>
          </w:tcPr>
          <w:p>
            <w:pPr>
              <w:pStyle w:val="Compact"/>
              <w:spacing w:after="40"/>
              <w:jc w:val="left"/>
            </w:pPr>
            <w:r>
              <w:rPr>
                <w:sz w:val="22"/>
              </w:rPr>
              <w:t xml:space="preserve">“Validación manual”</w:t>
            </w:r>
            <w:r>
              <w:rPr>
                <w:sz w:val="22"/>
              </w:rPr>
              <w:t xml:space="preserve">,</w:t>
            </w:r>
            <w:r>
              <w:rPr>
                <w:sz w:val="22"/>
              </w:rPr>
              <w:t xml:space="preserve"> </w:t>
            </w:r>
            <w:r>
              <w:rPr>
                <w:sz w:val="22"/>
              </w:rPr>
              <w:t xml:space="preserve">“Pruebas tradicionales”</w:t>
            </w:r>
          </w:p>
        </w:tc>
        <w:tc>
          <w:tcPr>
            <w:tcW w:type="dxa" w:w="3369"/>
          </w:tcPr>
          <w:p>
            <w:pPr>
              <w:pStyle w:val="Compact"/>
              <w:spacing w:after="40"/>
              <w:jc w:val="left"/>
            </w:pPr>
            <w:r>
              <w:rPr>
                <w:sz w:val="22"/>
              </w:rPr>
              <w:t xml:space="preserve">“Manual validation”</w:t>
            </w:r>
            <w:r>
              <w:rPr>
                <w:sz w:val="22"/>
              </w:rPr>
              <w:t xml:space="preserve">,</w:t>
            </w:r>
            <w:r>
              <w:rPr>
                <w:sz w:val="22"/>
              </w:rPr>
              <w:t xml:space="preserve"> </w:t>
            </w:r>
            <w:r>
              <w:rPr>
                <w:sz w:val="22"/>
              </w:rPr>
              <w:t xml:space="preserve">“Traditional testing”</w:t>
            </w:r>
          </w:p>
        </w:tc>
      </w:tr>
      <w:tr>
        <w:tc>
          <w:tcPr>
            <w:tcW w:type="dxa" w:w="2462"/>
          </w:tcPr>
          <w:p>
            <w:pPr>
              <w:pStyle w:val="Compact"/>
              <w:spacing w:after="40"/>
              <w:jc w:val="left"/>
            </w:pPr>
            <w:r>
              <w:rPr>
                <w:b/>
                <w:bCs/>
                <w:sz w:val="22"/>
              </w:rPr>
              <w:t xml:space="preserve">Resultado</w:t>
            </w:r>
          </w:p>
        </w:tc>
        <w:tc>
          <w:tcPr>
            <w:tcW w:type="dxa" w:w="3184"/>
          </w:tcPr>
          <w:p>
            <w:pPr>
              <w:pStyle w:val="Compact"/>
              <w:spacing w:after="40"/>
              <w:jc w:val="left"/>
            </w:pPr>
            <w:r>
              <w:rPr>
                <w:sz w:val="22"/>
              </w:rPr>
              <w:t xml:space="preserve">“Mitigación de sesgos”</w:t>
            </w:r>
            <w:r>
              <w:rPr>
                <w:sz w:val="22"/>
              </w:rPr>
              <w:t xml:space="preserve">,</w:t>
            </w:r>
            <w:r>
              <w:rPr>
                <w:sz w:val="22"/>
              </w:rPr>
              <w:t xml:space="preserve"> </w:t>
            </w:r>
            <w:r>
              <w:rPr>
                <w:sz w:val="22"/>
              </w:rPr>
              <w:t xml:space="preserve">“IA confiable”</w:t>
            </w:r>
            <w:r>
              <w:rPr>
                <w:sz w:val="22"/>
              </w:rPr>
              <w:t xml:space="preserve">,</w:t>
            </w:r>
            <w:r>
              <w:rPr>
                <w:sz w:val="22"/>
              </w:rPr>
              <w:t xml:space="preserve"> </w:t>
            </w:r>
            <w:r>
              <w:rPr>
                <w:sz w:val="22"/>
              </w:rPr>
              <w:t xml:space="preserve">“Calidad de software”</w:t>
            </w:r>
          </w:p>
        </w:tc>
        <w:tc>
          <w:tcPr>
            <w:tcW w:type="dxa" w:w="3369"/>
          </w:tcPr>
          <w:p>
            <w:pPr>
              <w:pStyle w:val="Compact"/>
              <w:spacing w:after="40"/>
              <w:jc w:val="left"/>
            </w:pPr>
            <w:r>
              <w:rPr>
                <w:sz w:val="22"/>
              </w:rPr>
              <w:t xml:space="preserve">“Bias mitigation”</w:t>
            </w:r>
            <w:r>
              <w:rPr>
                <w:sz w:val="22"/>
              </w:rPr>
              <w:t xml:space="preserve">,</w:t>
            </w:r>
            <w:r>
              <w:rPr>
                <w:sz w:val="22"/>
              </w:rPr>
              <w:t xml:space="preserve"> </w:t>
            </w:r>
            <w:r>
              <w:rPr>
                <w:sz w:val="22"/>
              </w:rPr>
              <w:t xml:space="preserve">“Trustworthy AI”</w:t>
            </w:r>
            <w:r>
              <w:rPr>
                <w:sz w:val="22"/>
              </w:rPr>
              <w:t xml:space="preserve">,</w:t>
            </w:r>
            <w:r>
              <w:rPr>
                <w:sz w:val="22"/>
              </w:rPr>
              <w:t xml:space="preserve"> </w:t>
            </w:r>
            <w:r>
              <w:rPr>
                <w:sz w:val="22"/>
              </w:rPr>
              <w:t xml:space="preserve">“Software Quality Assurance”</w:t>
            </w:r>
          </w:p>
        </w:tc>
      </w:tr>
      <w:tr>
        <w:tc>
          <w:tcPr>
            <w:tcW w:type="dxa" w:w="2462"/>
          </w:tcPr>
          <w:p>
            <w:pPr>
              <w:pStyle w:val="Compact"/>
              <w:spacing w:after="40"/>
              <w:jc w:val="left"/>
            </w:pPr>
            <w:r>
              <w:rPr>
                <w:b/>
                <w:bCs/>
                <w:sz w:val="22"/>
              </w:rPr>
              <w:t xml:space="preserve">Contexto</w:t>
            </w:r>
          </w:p>
        </w:tc>
        <w:tc>
          <w:tcPr>
            <w:tcW w:type="dxa" w:w="3184"/>
          </w:tcPr>
          <w:p>
            <w:pPr>
              <w:pStyle w:val="Compact"/>
              <w:spacing w:after="40"/>
              <w:jc w:val="left"/>
            </w:pPr>
            <w:r>
              <w:rPr>
                <w:sz w:val="22"/>
              </w:rPr>
              <w:t xml:space="preserve">“Ingeniería de software”</w:t>
            </w:r>
            <w:r>
              <w:rPr>
                <w:sz w:val="22"/>
              </w:rPr>
              <w:t xml:space="preserve">,</w:t>
            </w:r>
            <w:r>
              <w:rPr>
                <w:sz w:val="22"/>
              </w:rPr>
              <w:t xml:space="preserve"> </w:t>
            </w:r>
            <w:r>
              <w:rPr>
                <w:sz w:val="22"/>
              </w:rPr>
              <w:t xml:space="preserve">“Sistemas en producción”</w:t>
            </w:r>
          </w:p>
        </w:tc>
        <w:tc>
          <w:tcPr>
            <w:tcW w:type="dxa" w:w="3369"/>
          </w:tcPr>
          <w:p>
            <w:pPr>
              <w:pStyle w:val="Compact"/>
              <w:spacing w:after="40"/>
              <w:jc w:val="left"/>
            </w:pPr>
            <w:r>
              <w:rPr>
                <w:sz w:val="22"/>
              </w:rPr>
              <w:t xml:space="preserve">“Software Engineering”</w:t>
            </w:r>
            <w:r>
              <w:rPr>
                <w:sz w:val="22"/>
              </w:rPr>
              <w:t xml:space="preserve">,</w:t>
            </w:r>
            <w:r>
              <w:rPr>
                <w:sz w:val="22"/>
              </w:rPr>
              <w:t xml:space="preserve"> </w:t>
            </w:r>
            <w:r>
              <w:rPr>
                <w:sz w:val="22"/>
              </w:rPr>
              <w:t xml:space="preserve">“Production systems”</w:t>
            </w:r>
          </w:p>
        </w:tc>
      </w:tr>
    </w:tbl>
    <w:p>
      <w:pPr>
        <w:pStyle w:val="BodyText"/>
        <w:keepNext w:val="0"/>
        <w:jc w:val="center"/>
      </w:pPr>
      <w:r>
        <w:rPr>
          <w:b/>
          <w:bCs/>
        </w:rPr>
        <w:t xml:space="preserve">Tabla 7</w:t>
      </w:r>
      <w:r>
        <w:t xml:space="preserve"> </w:t>
      </w:r>
      <w:r>
        <w:t xml:space="preserve">Cadenas de búsqueda</w:t>
      </w:r>
    </w:p>
    <w:p>
      <w:pPr>
        <w:pStyle w:val="BodyText"/>
      </w:pPr>
      <w:r>
        <w:t xml:space="preserve">Para la revisión de literatura se aplicó una ecuación general de búsqueda construida a partir del marco PICOC, adaptándola a cada base de datos, las cuales se muestran en la Tabla 8. Se utilizaron términos en inglés (predominantes en el área tecnológica) y en español para ampliar los resultados y asegurar la inclusión de artículos relevantes, dejando como resultado un total de 128 resultados en la base de datos de Scopus, 30 en IEEE Xplore y 54 en la base de datos de Google Académico.</w:t>
      </w:r>
    </w:p>
    <w:p>
      <w:pPr>
        <w:pStyle w:val="BodyText"/>
      </w:pPr>
      <w:r>
        <w:t xml:space="preserve">Asimismo, se desarrollaron diferentes ecuaciones de búsqueda (Tabla 8) dependiendo de cada base de datos, ya que en principio cada una de estas cumple con lo obtenido luego de la metodología PICOC. No obstante, debido a la naturaleza técnica del tema, el uso de términos en inglés influye enormemente en la obtención de resultados relevantes.</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2668"/>
        <w:gridCol w:w="6345"/>
      </w:tblGrid>
      <w:tr>
        <w:trPr>
          <w:tblHeader w:val="on"/>
          <w:tblHeader w:val="true"/>
        </w:trPr>
        <w:tc>
          <w:tcPr>
            <w:tcW w:type="dxa" w:w="2668"/>
          </w:tcPr>
          <w:p>
            <w:pPr>
              <w:pStyle w:val="Compact"/>
              <w:spacing w:after="40"/>
              <w:jc w:val="left"/>
            </w:pPr>
            <w:r>
              <w:rPr>
                <w:b/>
                <w:sz w:val="22"/>
              </w:rPr>
              <w:t xml:space="preserve">Base de datos</w:t>
            </w:r>
          </w:p>
        </w:tc>
        <w:tc>
          <w:tcPr>
            <w:tcW w:type="dxa" w:w="6346"/>
          </w:tcPr>
          <w:p>
            <w:pPr>
              <w:pStyle w:val="Compact"/>
              <w:spacing w:after="40"/>
              <w:jc w:val="left"/>
            </w:pPr>
            <w:r>
              <w:rPr>
                <w:b/>
                <w:sz w:val="22"/>
              </w:rPr>
              <w:t xml:space="preserve">Palabras / Ecuación de búsqueda</w:t>
            </w:r>
          </w:p>
        </w:tc>
      </w:tr>
      <w:tr>
        <w:tc>
          <w:tcPr>
            <w:tcW w:type="dxa" w:w="2668"/>
          </w:tcPr>
          <w:p>
            <w:pPr>
              <w:pStyle w:val="Compact"/>
              <w:spacing w:after="40"/>
              <w:jc w:val="left"/>
            </w:pPr>
            <w:r>
              <w:rPr>
                <w:b/>
                <w:bCs/>
                <w:sz w:val="22"/>
              </w:rPr>
              <w:t xml:space="preserve">Scopus</w:t>
            </w:r>
          </w:p>
        </w:tc>
        <w:tc>
          <w:tcPr>
            <w:tcW w:type="dxa" w:w="6346"/>
          </w:tcPr>
          <w:p>
            <w:pPr>
              <w:pStyle w:val="Compact"/>
              <w:spacing w:after="40"/>
              <w:jc w:val="left"/>
            </w:pPr>
            <w:r>
              <w:rPr>
                <w:rStyle w:val="VerbatimChar"/>
                <w:sz w:val="22"/>
              </w:rPr>
              <w:t xml:space="preserve">( TITLE-ABS-KEY ( "MLOps" OR "Machine Learning Operations" OR "ML pipeline" OR "CD4ML" ) AND TITLE-ABS-KEY ( "fairness" OR "bias" OR "equity" OR "trustworthy AI" ) )</w:t>
            </w:r>
          </w:p>
        </w:tc>
      </w:tr>
      <w:tr>
        <w:tc>
          <w:tcPr>
            <w:tcW w:type="dxa" w:w="2668"/>
          </w:tcPr>
          <w:p>
            <w:pPr>
              <w:pStyle w:val="Compact"/>
              <w:spacing w:after="40"/>
              <w:jc w:val="left"/>
            </w:pPr>
            <w:r>
              <w:rPr>
                <w:b/>
                <w:bCs/>
                <w:sz w:val="22"/>
              </w:rPr>
              <w:t xml:space="preserve">IEEExplore</w:t>
            </w:r>
          </w:p>
        </w:tc>
        <w:tc>
          <w:tcPr>
            <w:tcW w:type="dxa" w:w="6346"/>
          </w:tcPr>
          <w:p>
            <w:pPr>
              <w:pStyle w:val="Compact"/>
              <w:spacing w:after="40"/>
              <w:jc w:val="left"/>
            </w:pPr>
            <w:r>
              <w:rPr>
                <w:rStyle w:val="VerbatimChar"/>
                <w:sz w:val="22"/>
              </w:rPr>
              <w:t xml:space="preserve">("MLOps" OR "Machine Learning Operations" OR "ML pipeline") AND ("fairness" OR "bias" OR "equity" OR "ethical AI")</w:t>
            </w:r>
          </w:p>
        </w:tc>
      </w:tr>
      <w:tr>
        <w:tc>
          <w:tcPr>
            <w:tcW w:type="dxa" w:w="2668"/>
          </w:tcPr>
          <w:p>
            <w:pPr>
              <w:pStyle w:val="Compact"/>
              <w:spacing w:after="40"/>
              <w:jc w:val="left"/>
            </w:pPr>
            <w:r>
              <w:rPr>
                <w:b/>
                <w:bCs/>
                <w:sz w:val="22"/>
              </w:rPr>
              <w:t xml:space="preserve">Google Académico</w:t>
            </w:r>
          </w:p>
        </w:tc>
        <w:tc>
          <w:tcPr>
            <w:tcW w:type="dxa" w:w="6346"/>
          </w:tcPr>
          <w:p>
            <w:pPr>
              <w:pStyle w:val="Compact"/>
              <w:spacing w:after="40"/>
              <w:jc w:val="left"/>
            </w:pPr>
            <w:r>
              <w:rPr>
                <w:rStyle w:val="VerbatimChar"/>
                <w:sz w:val="22"/>
              </w:rPr>
              <w:t xml:space="preserve">"MLOps" AND ("fairness" OR "bias" OR "equidad") AND ("validation" OR "auditing")</w:t>
            </w:r>
          </w:p>
        </w:tc>
      </w:tr>
    </w:tbl>
    <w:p>
      <w:pPr>
        <w:pStyle w:val="BodyText"/>
        <w:keepNext w:val="0"/>
        <w:jc w:val="center"/>
      </w:pPr>
      <w:r>
        <w:rPr>
          <w:b/>
          <w:bCs/>
        </w:rPr>
        <w:t xml:space="preserve">Tabla 8</w:t>
      </w:r>
      <w:r>
        <w:t xml:space="preserve"> </w:t>
      </w:r>
      <w:r>
        <w:t xml:space="preserve">Ecuación de búsqueda en las bases de datos</w:t>
      </w:r>
    </w:p>
    <w:bookmarkEnd w:id="53"/>
    <w:bookmarkEnd w:id="54"/>
    <w:bookmarkStart w:id="58" w:name="criterios-de-inclusión-y-exclusión"/>
    <w:p>
      <w:pPr>
        <w:pStyle w:val="Heading2"/>
      </w:pPr>
      <w:r>
        <w:t xml:space="preserve">3.5 Criterios de inclusión y exclusión</w:t>
      </w:r>
    </w:p>
    <w:p>
      <w:pPr>
        <w:pStyle w:val="FirstParagraph"/>
      </w:pPr>
      <w:r>
        <w:t xml:space="preserve">Para la selección de los estudios primarios, se definieron criterios de inclusión (CI) y exclusión (CE) alineados con las preguntas de investigación y el objetivo de diseñar una arquitectura MLOps.</w:t>
      </w:r>
    </w:p>
    <w:p>
      <w:pPr>
        <w:pStyle w:val="BodyText"/>
      </w:pPr>
      <w:r>
        <w:rPr>
          <w:b/>
          <w:bCs/>
        </w:rPr>
        <w:t xml:space="preserve">Criterios de Inclusión (CI):</w:t>
      </w:r>
    </w:p>
    <w:p>
      <w:pPr>
        <w:pStyle w:val="Compact"/>
        <w:numPr>
          <w:ilvl w:val="0"/>
          <w:numId w:val="1018"/>
        </w:numPr>
      </w:pPr>
      <w:r>
        <w:rPr>
          <w:b/>
          <w:bCs/>
        </w:rPr>
        <w:t xml:space="preserve">CI-1 (Temporalidad):</w:t>
      </w:r>
      <w:r>
        <w:t xml:space="preserve"> </w:t>
      </w:r>
      <w:r>
        <w:t xml:space="preserve">Estudios publicados entre el año 2020 y 2026, para garantizar la vigencia tecnológica de las herramientas MLOps y algoritmos de mitigación de sesgo.</w:t>
      </w:r>
    </w:p>
    <w:p>
      <w:pPr>
        <w:pStyle w:val="Compact"/>
        <w:numPr>
          <w:ilvl w:val="0"/>
          <w:numId w:val="1018"/>
        </w:numPr>
      </w:pPr>
      <w:r>
        <w:rPr>
          <w:b/>
          <w:bCs/>
        </w:rPr>
        <w:t xml:space="preserve">CI-2 (Temática):</w:t>
      </w:r>
      <w:r>
        <w:t xml:space="preserve"> </w:t>
      </w:r>
      <w:r>
        <w:t xml:space="preserve">Artículos que aborden explícitamente MLOps (Machine Learning Operations), Fairness (Equidad algorítmica), Bias Mitigation (Mitigación de sesgos) o Trustworthy AI en pipelines de datos.</w:t>
      </w:r>
    </w:p>
    <w:p>
      <w:pPr>
        <w:pStyle w:val="Compact"/>
        <w:numPr>
          <w:ilvl w:val="0"/>
          <w:numId w:val="1018"/>
        </w:numPr>
      </w:pPr>
      <w:r>
        <w:rPr>
          <w:b/>
          <w:bCs/>
        </w:rPr>
        <w:t xml:space="preserve">CI-3 (Tipo de Datos):</w:t>
      </w:r>
      <w:r>
        <w:t xml:space="preserve"> </w:t>
      </w:r>
      <w:r>
        <w:t xml:space="preserve">Investigaciones centradas en datos estructurados o tabulares (e.g., CSV, bases de datos relacionales, registros financieros), dado el alcance de la arquitectura propuesta.</w:t>
      </w:r>
    </w:p>
    <w:p>
      <w:pPr>
        <w:pStyle w:val="Compact"/>
        <w:numPr>
          <w:ilvl w:val="0"/>
          <w:numId w:val="1018"/>
        </w:numPr>
      </w:pPr>
      <w:r>
        <w:rPr>
          <w:b/>
          <w:bCs/>
        </w:rPr>
        <w:t xml:space="preserve">CI-4 (Nivel Técnico):</w:t>
      </w:r>
      <w:r>
        <w:t xml:space="preserve"> </w:t>
      </w:r>
      <w:r>
        <w:t xml:space="preserve">Estudios que proponen arquitecturas de software, algoritmos, herramientas implementables o marcos metodológicos/conceptuales. Se incluirán tanto las investigaciones con validación experimental, como aquellos estudios teóricos o regulatorios que aporten lineamientos de diseño, metodologías de pruebas de calidad (QA) o requisitos técnicos aplicables directamente al ciclo de vida del Machine Learning (MLOps).</w:t>
      </w:r>
    </w:p>
    <w:p>
      <w:pPr>
        <w:pStyle w:val="Compact"/>
        <w:numPr>
          <w:ilvl w:val="0"/>
          <w:numId w:val="1018"/>
        </w:numPr>
      </w:pPr>
      <w:r>
        <w:rPr>
          <w:b/>
          <w:bCs/>
        </w:rPr>
        <w:t xml:space="preserve">CI-5 (Idioma):</w:t>
      </w:r>
      <w:r>
        <w:t xml:space="preserve"> </w:t>
      </w:r>
      <w:r>
        <w:t xml:space="preserve">Publicaciones redactadas en inglés o español.</w:t>
      </w:r>
    </w:p>
    <w:p>
      <w:pPr>
        <w:pStyle w:val="FirstParagraph"/>
      </w:pPr>
      <w:r>
        <w:rPr>
          <w:b/>
          <w:bCs/>
        </w:rPr>
        <w:t xml:space="preserve">Criterios de Exclusión (CE):</w:t>
      </w:r>
    </w:p>
    <w:p>
      <w:pPr>
        <w:pStyle w:val="Compact"/>
        <w:numPr>
          <w:ilvl w:val="0"/>
          <w:numId w:val="1019"/>
        </w:numPr>
      </w:pPr>
      <w:r>
        <w:rPr>
          <w:b/>
          <w:bCs/>
        </w:rPr>
        <w:t xml:space="preserve">CE-1 (Dominio Irrelevante):</w:t>
      </w:r>
      <w:r>
        <w:t xml:space="preserve"> </w:t>
      </w:r>
      <w:r>
        <w:t xml:space="preserve">Estudios enfocados exclusivamente en datos no estructurados (visión artificial, procesamiento de audio o video) cuyas técnicas no son transferibles directamente a tareas de clasificación en datos estructurados.</w:t>
      </w:r>
    </w:p>
    <w:p>
      <w:pPr>
        <w:pStyle w:val="Compact"/>
        <w:numPr>
          <w:ilvl w:val="0"/>
          <w:numId w:val="1019"/>
        </w:numPr>
      </w:pPr>
      <w:r>
        <w:rPr>
          <w:b/>
          <w:bCs/>
        </w:rPr>
        <w:t xml:space="preserve">CE-2 (Falta de Aplicabilidad):</w:t>
      </w:r>
      <w:r>
        <w:t xml:space="preserve"> </w:t>
      </w:r>
      <w:r>
        <w:t xml:space="preserve">Se excluirán artículos puramente filosóficos, sociológicos o legales que no tengan relación con el ciclo de vida del software. Sin embargo, sí se incluirán estudios teóricos, revisiones legales o marcos conceptuales (</w:t>
      </w:r>
      <w:r>
        <w:rPr>
          <w:i/>
          <w:iCs/>
        </w:rPr>
        <w:t xml:space="preserve">frameworks</w:t>
      </w:r>
      <w:r>
        <w:t xml:space="preserve">) siempre y cuando aborden cómo traducir principios éticos o regulatorios en requisitos de calidad (QA), pruebas de software o metodologías para MLOps.</w:t>
      </w:r>
    </w:p>
    <w:p>
      <w:pPr>
        <w:pStyle w:val="Compact"/>
        <w:numPr>
          <w:ilvl w:val="0"/>
          <w:numId w:val="1019"/>
        </w:numPr>
      </w:pPr>
      <w:r>
        <w:rPr>
          <w:b/>
          <w:bCs/>
        </w:rPr>
        <w:t xml:space="preserve">CE-3 (Tecnología Obsoleta):</w:t>
      </w:r>
      <w:r>
        <w:t xml:space="preserve"> </w:t>
      </w:r>
      <w:r>
        <w:t xml:space="preserve">Propuestas que utilicen enfoques de ML monolíticos (sin</w:t>
      </w:r>
      <w:r>
        <w:t xml:space="preserve"> </w:t>
      </w:r>
      <w:r>
        <w:rPr>
          <w:i/>
          <w:iCs/>
        </w:rPr>
        <w:t xml:space="preserve">pipelines</w:t>
      </w:r>
      <w:r>
        <w:t xml:space="preserve">) o herramientas discontinuadas anteriores al auge de MLOps moderno.</w:t>
      </w:r>
    </w:p>
    <w:p>
      <w:pPr>
        <w:pStyle w:val="Compact"/>
        <w:numPr>
          <w:ilvl w:val="0"/>
          <w:numId w:val="1019"/>
        </w:numPr>
      </w:pPr>
      <w:r>
        <w:rPr>
          <w:b/>
          <w:bCs/>
        </w:rPr>
        <w:t xml:space="preserve">CE-4 (Indisponibilidad de Texto Completo):</w:t>
      </w:r>
      <w:r>
        <w:t xml:space="preserve"> </w:t>
      </w:r>
      <w:r>
        <w:t xml:space="preserve">Artículos cuyo contenido completo no pudo ser recuperado a través de las bases de datos institucionales suscritas, repositorios de acceso abierto (</w:t>
      </w:r>
      <w:r>
        <w:rPr>
          <w:i/>
          <w:iCs/>
        </w:rPr>
        <w:t xml:space="preserve">Open Access</w:t>
      </w:r>
      <w:r>
        <w:t xml:space="preserve">) o contacto directo con los autores.</w:t>
      </w:r>
    </w:p>
    <w:p>
      <w:pPr>
        <w:pStyle w:val="FirstParagraph"/>
      </w:pPr>
      <w:r>
        <w:t xml:space="preserve">La selección de los estudios primarios se llevó a cabo siguiendo las cuatro fases del flujo PRISMA (Identificación, Cribado, Elegibilidad e Inclusión), aplicando rigurosamente los criterios definidos en la sección anterior.</w:t>
      </w:r>
    </w:p>
    <w:p>
      <w:pPr>
        <w:pStyle w:val="Compact"/>
        <w:numPr>
          <w:ilvl w:val="0"/>
          <w:numId w:val="1020"/>
        </w:numPr>
      </w:pPr>
      <w:r>
        <w:rPr>
          <w:b/>
          <w:bCs/>
        </w:rPr>
        <w:t xml:space="preserve">Identificación (Fase 1):</w:t>
      </w:r>
      <w:r>
        <w:t xml:space="preserve"> </w:t>
      </w:r>
      <w:r>
        <w:t xml:space="preserve">En esta etapa inicial, se realizó la búsqueda sistemática en las fuentes de información seleccionadas, recuperando un total de 212 registros. La distribución por base de datos fue: 128 documentos provenientes de Scopus, 30 de IEEE Xplore y 54 de Google Scholar (recuperados mediante búsqueda específica por título). Tras la identificación, se procedió a la detección de duplicados utilizando el gestor bibliográfico Zotero, eliminando 27 registros repetidos, lo que resultó en 185 documentos únicos para la fase de cribado.</w:t>
      </w:r>
    </w:p>
    <w:p>
      <w:pPr>
        <w:pStyle w:val="Compact"/>
        <w:numPr>
          <w:ilvl w:val="0"/>
          <w:numId w:val="1020"/>
        </w:numPr>
      </w:pPr>
      <w:r>
        <w:rPr>
          <w:b/>
          <w:bCs/>
        </w:rPr>
        <w:t xml:space="preserve">Cribado (Screening) (Fase 2):</w:t>
      </w:r>
      <w:r>
        <w:t xml:space="preserve"> </w:t>
      </w:r>
      <w:r>
        <w:t xml:space="preserve">Los 185 registros restantes fueron sometidos a un primer filtro basado en la lectura del título y resumen. En esta fase se aplicaron los criterios de inclusión generales (CI-1, CI-2 y CI-5), descartando un total de 121 artículos que no cumplían con los requisitos básicos. Las exclusiones se desglosan de la siguiente manera:</w:t>
      </w:r>
    </w:p>
    <w:p>
      <w:pPr>
        <w:pStyle w:val="Compact"/>
        <w:numPr>
          <w:ilvl w:val="1"/>
          <w:numId w:val="1021"/>
        </w:numPr>
      </w:pPr>
      <w:r>
        <w:t xml:space="preserve">30 documentos excluidos por antigüedad (publicados antes de 2020), en cumplimiento del criterio CI-1.</w:t>
      </w:r>
    </w:p>
    <w:p>
      <w:pPr>
        <w:pStyle w:val="Compact"/>
        <w:numPr>
          <w:ilvl w:val="1"/>
          <w:numId w:val="1021"/>
        </w:numPr>
      </w:pPr>
      <w:r>
        <w:t xml:space="preserve">91 documentos excluidos por irrelevancia temática o por tipo de documento inadecuado, aplicando los criterios CI-2 y CI-5.</w:t>
      </w:r>
    </w:p>
    <w:p>
      <w:pPr>
        <w:pStyle w:val="Compact"/>
        <w:numPr>
          <w:ilvl w:val="0"/>
          <w:numId w:val="1020"/>
        </w:numPr>
      </w:pPr>
      <w:r>
        <w:rPr>
          <w:b/>
          <w:bCs/>
        </w:rPr>
        <w:t xml:space="preserve">Elegibilidad (Fase 3):</w:t>
      </w:r>
      <w:r>
        <w:t xml:space="preserve"> </w:t>
      </w:r>
      <w:r>
        <w:t xml:space="preserve">Se recuperaron y evaluaron a texto completo los 64 artículos que superaron el cribado. En esta etapa se aplicó un filtro técnico exhaustivo basado en los criterios de especificidad (CI-3, CI-4) y los criterios de exclusión (CE-1 a CE-4). Se excluyeron 42 estudios por las siguientes razones justificadas:</w:t>
      </w:r>
    </w:p>
    <w:p>
      <w:pPr>
        <w:pStyle w:val="Compact"/>
        <w:numPr>
          <w:ilvl w:val="1"/>
          <w:numId w:val="1022"/>
        </w:numPr>
      </w:pPr>
      <w:r>
        <w:t xml:space="preserve">11 artículos se descartaron por falta de acceso al documento completo (CE-4), al no estar disponibles en las bases de datos institucionales ni en repositorios abiertos.</w:t>
      </w:r>
    </w:p>
    <w:p>
      <w:pPr>
        <w:pStyle w:val="Compact"/>
        <w:numPr>
          <w:ilvl w:val="1"/>
          <w:numId w:val="1022"/>
        </w:numPr>
      </w:pPr>
      <w:r>
        <w:t xml:space="preserve">7 artículos se excluyeron por no cumplir con el criterio de datos estructurados (CI-3), al utilizar fuentes de datos no estructuradas (imágenes, video o audio) no aplicables a tareas de clasificación en datos estructurados (CE-1).</w:t>
      </w:r>
    </w:p>
    <w:p>
      <w:pPr>
        <w:pStyle w:val="Compact"/>
        <w:numPr>
          <w:ilvl w:val="1"/>
          <w:numId w:val="1022"/>
        </w:numPr>
      </w:pPr>
      <w:r>
        <w:t xml:space="preserve">24 artículos se eliminaron por no satisfacer el requisito de aporte técnico o metodológico (CI-4), al tratarse de enfoques puramente filosóficos, sociológicos o legales desvinculados del ciclo de vida del software, los cuales no aportan lineamientos de diseño, metodologías de aseguramiento de calidad ni requisitos técnicos aplicables a canalizaciones MLOps (CE-2).</w:t>
      </w:r>
    </w:p>
    <w:p>
      <w:pPr>
        <w:pStyle w:val="Compact"/>
        <w:numPr>
          <w:ilvl w:val="0"/>
          <w:numId w:val="1020"/>
        </w:numPr>
      </w:pPr>
      <w:r>
        <w:rPr>
          <w:b/>
          <w:bCs/>
        </w:rPr>
        <w:t xml:space="preserve">Inclusión (Fase 4):</w:t>
      </w:r>
      <w:r>
        <w:t xml:space="preserve"> </w:t>
      </w:r>
      <w:r>
        <w:t xml:space="preserve">Finalmente, 22 estudios cumplieron con la totalidad de los criterios de selección y fueron incluidos en la revisión sistemática. Estos documentos conforman la base para la extracción de datos y el análisis de la arquitectura propuesta en la presente tesis.</w:t>
      </w:r>
    </w:p>
    <w:p>
      <w:pPr>
        <w:pStyle w:val="FirstParagraph"/>
      </w:pPr>
      <w:r>
        <w:t xml:space="preserve">El flujo detallado de la selección y los motivos de exclusión se resumen en la Figura 3 (Diagrama PRISMA).</w:t>
      </w:r>
    </w:p>
    <w:p>
      <w:pPr>
        <w:pStyle w:val="BodyText"/>
        <w:jc w:val="center"/>
      </w:pPr>
      <w:r>
        <w:drawing>
          <wp:inline>
            <wp:extent cx="5727700" cy="7476309"/>
            <wp:effectExtent b="0" l="0" r="0" t="0"/>
            <wp:docPr descr="Figura 3: Diagrama PRISMA" title="" id="56" name="Picture"/>
            <a:graphic>
              <a:graphicData uri="http://schemas.openxmlformats.org/drawingml/2006/picture">
                <pic:pic>
                  <pic:nvPicPr>
                    <pic:cNvPr descr="C:/Users/a2020/Documents/Tesis/Base%20de%20conocimiento/imagenes/fig03-diagrama-prisma.png" id="57" name="Picture"/>
                    <pic:cNvPicPr>
                      <a:picLocks noChangeArrowheads="1" noChangeAspect="1"/>
                    </pic:cNvPicPr>
                  </pic:nvPicPr>
                  <pic:blipFill>
                    <a:blip r:embed="rId55"/>
                    <a:stretch>
                      <a:fillRect/>
                    </a:stretch>
                  </pic:blipFill>
                  <pic:spPr bwMode="auto">
                    <a:xfrm>
                      <a:off x="0" y="0"/>
                      <a:ext cx="5727700" cy="7476309"/>
                    </a:xfrm>
                    <a:prstGeom prst="rect">
                      <a:avLst/>
                    </a:prstGeom>
                    <a:noFill/>
                    <a:ln w="9525">
                      <a:noFill/>
                      <a:headEnd/>
                      <a:tailEnd/>
                    </a:ln>
                  </pic:spPr>
                </pic:pic>
              </a:graphicData>
            </a:graphic>
          </wp:inline>
        </w:drawing>
      </w:r>
    </w:p>
    <w:p>
      <w:pPr>
        <w:pStyle w:val="BodyText"/>
        <w:keepNext w:val="0"/>
        <w:jc w:val="center"/>
      </w:pPr>
      <w:r>
        <w:rPr>
          <w:b/>
          <w:bCs/>
        </w:rPr>
        <w:t xml:space="preserve">Figura 3: Diagrama PRISMA</w:t>
      </w:r>
    </w:p>
    <w:p>
      <w:pPr>
        <w:pStyle w:val="BodyText"/>
      </w:pPr>
      <w:r>
        <w:t xml:space="preserve">(texto contenido en la figura):** Scopus (128), IEE Explore (30), Google Scholar (54) —</w:t>
      </w:r>
      <w:r>
        <w:t xml:space="preserve"> </w:t>
      </w:r>
      <w:r>
        <w:t xml:space="preserve">“Consulta: 3 de enero del 2026”</w:t>
      </w:r>
      <w:r>
        <w:t xml:space="preserve"> </w:t>
      </w:r>
      <w:r>
        <w:t xml:space="preserve">→ 212 Registros relevantes → (27 Registros duplicados) → 185 Registros Restantes → (Se eliminaron: 30 Registros con año de publicación anterior al 2020; 91 Registros no relacionados con el tema) → 64 Registros Restantes → (Se eliminaron: 11 Registros por falta de acceso al documento completo; 7 Registros por no cumplir con el criterio de datos estructurados; 24 Registros por no satisfacer el requisito de nivel técnico e implementación) → 22 Registros Finales.</w:t>
      </w:r>
    </w:p>
    <w:bookmarkEnd w:id="58"/>
    <w:bookmarkStart w:id="59" w:name="formulario-de-extracción-de-datos"/>
    <w:p>
      <w:pPr>
        <w:pStyle w:val="Heading2"/>
      </w:pPr>
      <w:r>
        <w:t xml:space="preserve">3.6 Formulario de extracción de datos</w:t>
      </w:r>
    </w:p>
    <w:p>
      <w:pPr>
        <w:pStyle w:val="FirstParagraph"/>
      </w:pPr>
      <w:r>
        <w:t xml:space="preserve">Para garantizar la consistencia en el análisis de la información, se diseñó un formulario de extracción que permite estandarizar los datos obtenidos de cada estudio seleccionado. Este instrumento facilita la posterior síntesis y comparación de las arquitecturas MLOps y métodos de validación de equidad hallados.</w:t>
      </w:r>
    </w:p>
    <w:p>
      <w:pPr>
        <w:pStyle w:val="BodyText"/>
      </w:pPr>
      <w:r>
        <w:t xml:space="preserve">Por consiguiente, se presentan los campos a recopilar en la Tabla 9.</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3376"/>
        <w:gridCol w:w="5637"/>
      </w:tblGrid>
      <w:tr>
        <w:trPr>
          <w:tblHeader w:val="on"/>
          <w:tblHeader w:val="true"/>
        </w:trPr>
        <w:tc>
          <w:tcPr>
            <w:tcW w:type="dxa" w:w="3377"/>
          </w:tcPr>
          <w:p>
            <w:pPr>
              <w:pStyle w:val="Compact"/>
              <w:spacing w:after="40"/>
              <w:jc w:val="left"/>
            </w:pPr>
            <w:r>
              <w:rPr>
                <w:b/>
                <w:sz w:val="22"/>
              </w:rPr>
              <w:t xml:space="preserve">Campo</w:t>
            </w:r>
          </w:p>
        </w:tc>
        <w:tc>
          <w:tcPr>
            <w:tcW w:type="dxa" w:w="5638"/>
          </w:tcPr>
          <w:p>
            <w:pPr>
              <w:pStyle w:val="Compact"/>
              <w:spacing w:after="40"/>
              <w:jc w:val="left"/>
            </w:pPr>
            <w:r>
              <w:rPr>
                <w:b/>
                <w:sz w:val="22"/>
              </w:rPr>
              <w:t xml:space="preserve">Descripción</w:t>
            </w:r>
          </w:p>
        </w:tc>
      </w:tr>
      <w:tr>
        <w:tc>
          <w:tcPr>
            <w:tcW w:type="dxa" w:w="3377"/>
          </w:tcPr>
          <w:p>
            <w:pPr>
              <w:pStyle w:val="Compact"/>
              <w:spacing w:after="40"/>
              <w:jc w:val="left"/>
            </w:pPr>
            <w:r>
              <w:rPr>
                <w:b/>
                <w:bCs/>
                <w:sz w:val="22"/>
              </w:rPr>
              <w:t xml:space="preserve">ID</w:t>
            </w:r>
          </w:p>
        </w:tc>
        <w:tc>
          <w:tcPr>
            <w:tcW w:type="dxa" w:w="5638"/>
          </w:tcPr>
          <w:p>
            <w:pPr>
              <w:pStyle w:val="Compact"/>
              <w:spacing w:after="40"/>
              <w:jc w:val="left"/>
            </w:pPr>
            <w:r>
              <w:rPr>
                <w:sz w:val="22"/>
              </w:rPr>
              <w:t xml:space="preserve">Identificador único asignado al documento en tu base de datos.</w:t>
            </w:r>
          </w:p>
        </w:tc>
      </w:tr>
      <w:tr>
        <w:tc>
          <w:tcPr>
            <w:tcW w:type="dxa" w:w="3377"/>
          </w:tcPr>
          <w:p>
            <w:pPr>
              <w:pStyle w:val="Compact"/>
              <w:spacing w:after="40"/>
              <w:jc w:val="left"/>
            </w:pPr>
            <w:r>
              <w:rPr>
                <w:b/>
                <w:bCs/>
                <w:sz w:val="22"/>
              </w:rPr>
              <w:t xml:space="preserve">Título</w:t>
            </w:r>
          </w:p>
        </w:tc>
        <w:tc>
          <w:tcPr>
            <w:tcW w:type="dxa" w:w="5638"/>
          </w:tcPr>
          <w:p>
            <w:pPr>
              <w:pStyle w:val="Compact"/>
              <w:spacing w:after="40"/>
              <w:jc w:val="left"/>
            </w:pPr>
            <w:r>
              <w:rPr>
                <w:sz w:val="22"/>
              </w:rPr>
              <w:t xml:space="preserve">Título completo del documento.</w:t>
            </w:r>
          </w:p>
        </w:tc>
      </w:tr>
      <w:tr>
        <w:tc>
          <w:tcPr>
            <w:tcW w:type="dxa" w:w="3377"/>
          </w:tcPr>
          <w:p>
            <w:pPr>
              <w:pStyle w:val="Compact"/>
              <w:spacing w:after="40"/>
              <w:jc w:val="left"/>
            </w:pPr>
            <w:r>
              <w:rPr>
                <w:b/>
                <w:bCs/>
                <w:sz w:val="22"/>
              </w:rPr>
              <w:t xml:space="preserve">DOI</w:t>
            </w:r>
          </w:p>
        </w:tc>
        <w:tc>
          <w:tcPr>
            <w:tcW w:type="dxa" w:w="5638"/>
          </w:tcPr>
          <w:p>
            <w:pPr>
              <w:pStyle w:val="Compact"/>
              <w:spacing w:after="40"/>
              <w:jc w:val="left"/>
            </w:pPr>
            <w:r>
              <w:rPr>
                <w:sz w:val="22"/>
              </w:rPr>
              <w:t xml:space="preserve">Identificador de Objeto Digital.</w:t>
            </w:r>
          </w:p>
        </w:tc>
      </w:tr>
      <w:tr>
        <w:tc>
          <w:tcPr>
            <w:tcW w:type="dxa" w:w="3377"/>
          </w:tcPr>
          <w:p>
            <w:pPr>
              <w:pStyle w:val="Compact"/>
              <w:spacing w:after="40"/>
              <w:jc w:val="left"/>
            </w:pPr>
            <w:r>
              <w:rPr>
                <w:b/>
                <w:bCs/>
                <w:sz w:val="22"/>
              </w:rPr>
              <w:t xml:space="preserve">Autor(es)</w:t>
            </w:r>
          </w:p>
        </w:tc>
        <w:tc>
          <w:tcPr>
            <w:tcW w:type="dxa" w:w="5638"/>
          </w:tcPr>
          <w:p>
            <w:pPr>
              <w:pStyle w:val="Compact"/>
              <w:spacing w:after="40"/>
              <w:jc w:val="left"/>
            </w:pPr>
            <w:r>
              <w:rPr>
                <w:sz w:val="22"/>
              </w:rPr>
              <w:t xml:space="preserve">Autores a los que se les atribuye el estudio.</w:t>
            </w:r>
          </w:p>
        </w:tc>
      </w:tr>
      <w:tr>
        <w:tc>
          <w:tcPr>
            <w:tcW w:type="dxa" w:w="3377"/>
          </w:tcPr>
          <w:p>
            <w:pPr>
              <w:pStyle w:val="Compact"/>
              <w:spacing w:after="40"/>
              <w:jc w:val="left"/>
            </w:pPr>
            <w:r>
              <w:rPr>
                <w:b/>
                <w:bCs/>
                <w:sz w:val="22"/>
              </w:rPr>
              <w:t xml:space="preserve">Año</w:t>
            </w:r>
          </w:p>
        </w:tc>
        <w:tc>
          <w:tcPr>
            <w:tcW w:type="dxa" w:w="5638"/>
          </w:tcPr>
          <w:p>
            <w:pPr>
              <w:pStyle w:val="Compact"/>
              <w:spacing w:after="40"/>
              <w:jc w:val="left"/>
            </w:pPr>
            <w:r>
              <w:rPr>
                <w:sz w:val="22"/>
              </w:rPr>
              <w:t xml:space="preserve">Año de publicación del estudio.</w:t>
            </w:r>
          </w:p>
        </w:tc>
      </w:tr>
      <w:tr>
        <w:tc>
          <w:tcPr>
            <w:tcW w:type="dxa" w:w="3377"/>
          </w:tcPr>
          <w:p>
            <w:pPr>
              <w:pStyle w:val="Compact"/>
              <w:spacing w:after="40"/>
              <w:jc w:val="left"/>
            </w:pPr>
            <w:r>
              <w:rPr>
                <w:b/>
                <w:bCs/>
                <w:sz w:val="22"/>
              </w:rPr>
              <w:t xml:space="preserve">Idioma</w:t>
            </w:r>
          </w:p>
        </w:tc>
        <w:tc>
          <w:tcPr>
            <w:tcW w:type="dxa" w:w="5638"/>
          </w:tcPr>
          <w:p>
            <w:pPr>
              <w:pStyle w:val="Compact"/>
              <w:spacing w:after="40"/>
              <w:jc w:val="left"/>
            </w:pPr>
            <w:r>
              <w:rPr>
                <w:sz w:val="22"/>
              </w:rPr>
              <w:t xml:space="preserve">Idioma en el que el documento está redactado.</w:t>
            </w:r>
          </w:p>
        </w:tc>
      </w:tr>
      <w:tr>
        <w:tc>
          <w:tcPr>
            <w:tcW w:type="dxa" w:w="3377"/>
          </w:tcPr>
          <w:p>
            <w:pPr>
              <w:pStyle w:val="Compact"/>
              <w:spacing w:after="40"/>
              <w:jc w:val="left"/>
            </w:pPr>
            <w:r>
              <w:rPr>
                <w:b/>
                <w:bCs/>
                <w:sz w:val="22"/>
              </w:rPr>
              <w:t xml:space="preserve">Objetivo Principal</w:t>
            </w:r>
          </w:p>
        </w:tc>
        <w:tc>
          <w:tcPr>
            <w:tcW w:type="dxa" w:w="5638"/>
          </w:tcPr>
          <w:p>
            <w:pPr>
              <w:pStyle w:val="Compact"/>
              <w:spacing w:after="40"/>
              <w:jc w:val="left"/>
            </w:pPr>
            <w:r>
              <w:rPr>
                <w:sz w:val="22"/>
              </w:rPr>
              <w:t xml:space="preserve">El propósito central del artículo</w:t>
            </w:r>
          </w:p>
        </w:tc>
      </w:tr>
      <w:tr>
        <w:tc>
          <w:tcPr>
            <w:tcW w:type="dxa" w:w="3377"/>
          </w:tcPr>
          <w:p>
            <w:pPr>
              <w:pStyle w:val="Compact"/>
              <w:spacing w:after="40"/>
              <w:jc w:val="left"/>
            </w:pPr>
            <w:r>
              <w:rPr>
                <w:b/>
                <w:bCs/>
                <w:sz w:val="22"/>
              </w:rPr>
              <w:t xml:space="preserve">Categoría de Sesgo</w:t>
            </w:r>
          </w:p>
        </w:tc>
        <w:tc>
          <w:tcPr>
            <w:tcW w:type="dxa" w:w="5638"/>
          </w:tcPr>
          <w:p>
            <w:pPr>
              <w:pStyle w:val="Compact"/>
              <w:spacing w:after="40"/>
              <w:jc w:val="left"/>
            </w:pPr>
            <w:r>
              <w:rPr>
                <w:sz w:val="22"/>
              </w:rPr>
              <w:t xml:space="preserve">La clasificación formal del riesgo o sesgo que el artículo intenta resolver, basándote en la taxonomía del NIST.</w:t>
            </w:r>
          </w:p>
        </w:tc>
      </w:tr>
      <w:tr>
        <w:tc>
          <w:tcPr>
            <w:tcW w:type="dxa" w:w="3377"/>
          </w:tcPr>
          <w:p>
            <w:pPr>
              <w:pStyle w:val="Compact"/>
              <w:spacing w:after="40"/>
              <w:jc w:val="left"/>
            </w:pPr>
            <w:r>
              <w:rPr>
                <w:b/>
                <w:bCs/>
                <w:sz w:val="22"/>
              </w:rPr>
              <w:t xml:space="preserve">Objetivo de Equidad</w:t>
            </w:r>
          </w:p>
        </w:tc>
        <w:tc>
          <w:tcPr>
            <w:tcW w:type="dxa" w:w="5638"/>
          </w:tcPr>
          <w:p>
            <w:pPr>
              <w:pStyle w:val="Compact"/>
              <w:spacing w:after="40"/>
              <w:jc w:val="left"/>
            </w:pPr>
            <w:r>
              <w:rPr>
                <w:sz w:val="22"/>
              </w:rPr>
              <w:t xml:space="preserve">La meta matemática u organizacional de equidad que persigue el estudio.</w:t>
            </w:r>
          </w:p>
        </w:tc>
      </w:tr>
      <w:tr>
        <w:tc>
          <w:tcPr>
            <w:tcW w:type="dxa" w:w="3377"/>
          </w:tcPr>
          <w:p>
            <w:pPr>
              <w:pStyle w:val="Compact"/>
              <w:spacing w:after="40"/>
              <w:jc w:val="left"/>
            </w:pPr>
            <w:r>
              <w:rPr>
                <w:b/>
                <w:bCs/>
                <w:sz w:val="22"/>
              </w:rPr>
              <w:t xml:space="preserve">Etapa de Intervención de Equidad</w:t>
            </w:r>
          </w:p>
        </w:tc>
        <w:tc>
          <w:tcPr>
            <w:tcW w:type="dxa" w:w="5638"/>
          </w:tcPr>
          <w:p>
            <w:pPr>
              <w:pStyle w:val="Compact"/>
              <w:spacing w:after="40"/>
              <w:jc w:val="left"/>
            </w:pPr>
            <w:r>
              <w:rPr>
                <w:sz w:val="22"/>
              </w:rPr>
              <w:t xml:space="preserve">El momento exacto en el que el algoritmo o método mitiga el sesgo en el flujo de los datos o el modelo.</w:t>
            </w:r>
          </w:p>
        </w:tc>
      </w:tr>
      <w:tr>
        <w:tc>
          <w:tcPr>
            <w:tcW w:type="dxa" w:w="3377"/>
          </w:tcPr>
          <w:p>
            <w:pPr>
              <w:pStyle w:val="Compact"/>
              <w:spacing w:after="40"/>
              <w:jc w:val="left"/>
            </w:pPr>
            <w:r>
              <w:rPr>
                <w:b/>
                <w:bCs/>
                <w:sz w:val="22"/>
              </w:rPr>
              <w:t xml:space="preserve">Métricas de Equidad y Trade-Offs</w:t>
            </w:r>
          </w:p>
        </w:tc>
        <w:tc>
          <w:tcPr>
            <w:tcW w:type="dxa" w:w="5638"/>
          </w:tcPr>
          <w:p>
            <w:pPr>
              <w:pStyle w:val="Compact"/>
              <w:spacing w:after="40"/>
              <w:jc w:val="left"/>
            </w:pPr>
            <w:r>
              <w:rPr>
                <w:sz w:val="22"/>
              </w:rPr>
              <w:t xml:space="preserve">Qué métricas específicas de sesgo se utilizaron como prueba de calidad y cuánto rendimiento predictivo se sacrificó a cambio</w:t>
            </w:r>
          </w:p>
        </w:tc>
      </w:tr>
      <w:tr>
        <w:tc>
          <w:tcPr>
            <w:tcW w:type="dxa" w:w="3377"/>
          </w:tcPr>
          <w:p>
            <w:pPr>
              <w:pStyle w:val="Compact"/>
              <w:spacing w:after="40"/>
              <w:jc w:val="left"/>
            </w:pPr>
            <w:r>
              <w:rPr>
                <w:b/>
                <w:bCs/>
                <w:sz w:val="22"/>
              </w:rPr>
              <w:t xml:space="preserve">Etapa del Pipeline</w:t>
            </w:r>
          </w:p>
        </w:tc>
        <w:tc>
          <w:tcPr>
            <w:tcW w:type="dxa" w:w="5638"/>
          </w:tcPr>
          <w:p>
            <w:pPr>
              <w:pStyle w:val="Compact"/>
              <w:spacing w:after="40"/>
              <w:jc w:val="left"/>
            </w:pPr>
            <w:r>
              <w:rPr>
                <w:sz w:val="22"/>
              </w:rPr>
              <w:t xml:space="preserve">En qué fase del ciclo de vida de Machine Learning opera la herramienta o solución propuesta.</w:t>
            </w:r>
          </w:p>
        </w:tc>
      </w:tr>
      <w:tr>
        <w:tc>
          <w:tcPr>
            <w:tcW w:type="dxa" w:w="3377"/>
          </w:tcPr>
          <w:p>
            <w:pPr>
              <w:pStyle w:val="Compact"/>
              <w:spacing w:after="40"/>
              <w:jc w:val="left"/>
            </w:pPr>
            <w:r>
              <w:rPr>
                <w:b/>
                <w:bCs/>
                <w:sz w:val="22"/>
              </w:rPr>
              <w:t xml:space="preserve">Stack Tecnológico / Herramientas MLOps</w:t>
            </w:r>
          </w:p>
        </w:tc>
        <w:tc>
          <w:tcPr>
            <w:tcW w:type="dxa" w:w="5638"/>
          </w:tcPr>
          <w:p>
            <w:pPr>
              <w:pStyle w:val="Compact"/>
              <w:spacing w:after="40"/>
              <w:jc w:val="left"/>
            </w:pPr>
            <w:r>
              <w:rPr>
                <w:sz w:val="22"/>
              </w:rPr>
              <w:t xml:space="preserve">Las tecnologías, lenguajes o infraestructura de nube que posibilitan la automatización o el monitoreo de la arquitectura.</w:t>
            </w:r>
          </w:p>
        </w:tc>
      </w:tr>
      <w:tr>
        <w:tc>
          <w:tcPr>
            <w:tcW w:type="dxa" w:w="3377"/>
          </w:tcPr>
          <w:p>
            <w:pPr>
              <w:pStyle w:val="Compact"/>
              <w:spacing w:after="40"/>
              <w:jc w:val="left"/>
            </w:pPr>
            <w:r>
              <w:rPr>
                <w:b/>
                <w:bCs/>
                <w:sz w:val="22"/>
              </w:rPr>
              <w:t xml:space="preserve">Hallazgos Clave</w:t>
            </w:r>
          </w:p>
        </w:tc>
        <w:tc>
          <w:tcPr>
            <w:tcW w:type="dxa" w:w="5638"/>
          </w:tcPr>
          <w:p>
            <w:pPr>
              <w:pStyle w:val="Compact"/>
              <w:spacing w:after="40"/>
              <w:jc w:val="left"/>
            </w:pPr>
            <w:r>
              <w:rPr>
                <w:sz w:val="22"/>
              </w:rPr>
              <w:t xml:space="preserve">Los principales resultados comprobados empíricamente tras aplicar la técnica de equidad o la arquitectura MLOps.</w:t>
            </w:r>
          </w:p>
        </w:tc>
      </w:tr>
      <w:tr>
        <w:tc>
          <w:tcPr>
            <w:tcW w:type="dxa" w:w="3377"/>
          </w:tcPr>
          <w:p>
            <w:pPr>
              <w:pStyle w:val="Compact"/>
              <w:spacing w:after="40"/>
              <w:jc w:val="left"/>
            </w:pPr>
            <w:r>
              <w:rPr>
                <w:b/>
                <w:bCs/>
                <w:sz w:val="22"/>
              </w:rPr>
              <w:t xml:space="preserve">Limitaciones / Brechas</w:t>
            </w:r>
          </w:p>
        </w:tc>
        <w:tc>
          <w:tcPr>
            <w:tcW w:type="dxa" w:w="5638"/>
          </w:tcPr>
          <w:p>
            <w:pPr>
              <w:pStyle w:val="Compact"/>
              <w:spacing w:after="40"/>
              <w:jc w:val="left"/>
            </w:pPr>
            <w:r>
              <w:rPr>
                <w:sz w:val="22"/>
              </w:rPr>
              <w:t xml:space="preserve">Los problemas no resueltos por el estudio.</w:t>
            </w:r>
          </w:p>
        </w:tc>
      </w:tr>
    </w:tbl>
    <w:p>
      <w:pPr>
        <w:pStyle w:val="BodyText"/>
        <w:keepNext w:val="0"/>
        <w:jc w:val="center"/>
      </w:pPr>
      <w:r>
        <w:rPr>
          <w:b/>
          <w:bCs/>
        </w:rPr>
        <w:t xml:space="preserve">Tabla 9</w:t>
      </w:r>
      <w:r>
        <w:t xml:space="preserve"> </w:t>
      </w:r>
      <w:r>
        <w:t xml:space="preserve">Formulario de extracción</w:t>
      </w:r>
    </w:p>
    <w:p>
      <w:pPr>
        <w:pStyle w:val="BodyText"/>
      </w:pPr>
      <w:r>
        <w:t xml:space="preserve">La aplicación detallada de este formulario y el almacenamiento de los metadatos de los artículos hallados se encuentran documentados en el repositorio digital de anexos de la investigación: Anexo A.</w:t>
      </w:r>
    </w:p>
    <w:bookmarkEnd w:id="59"/>
    <w:bookmarkStart w:id="64" w:name="resultados-de-revisión"/>
    <w:p>
      <w:pPr>
        <w:pStyle w:val="Heading2"/>
      </w:pPr>
      <w:r>
        <w:t xml:space="preserve">3.7 Resultados de revisión</w:t>
      </w:r>
    </w:p>
    <w:bookmarkStart w:id="60" w:name="respuesta-a-pregunta-de-revisión-1"/>
    <w:p>
      <w:pPr>
        <w:pStyle w:val="Heading3"/>
      </w:pPr>
      <w:r>
        <w:t xml:space="preserve">3.7.1 Respuesta a Pregunta de Revisión 1</w:t>
      </w:r>
    </w:p>
    <w:p>
      <w:pPr>
        <w:pStyle w:val="FirstParagraph"/>
      </w:pPr>
      <w:r>
        <w:t xml:space="preserve">Los procesos tradicionales de validación de modelos de aprendizaje automático enfrentan severas ineficiencias estructurales que limitan la detección y mitigación efectiva de sesgos algorítmicos. En primer lugar, gran parte de la industria opera bajo un nivel de madurez tecnológico denominado</w:t>
      </w:r>
      <w:r>
        <w:t xml:space="preserve"> </w:t>
      </w:r>
      <w:r>
        <w:t xml:space="preserve">“Nivel 0 de MLOps”</w:t>
      </w:r>
      <w:r>
        <w:t xml:space="preserve">, el cual se caracteriza por ser un proceso manual, interactivo y profundamente desconectado de las operaciones de ingeniería de software (Kazmierczak et al., 2024). En este esquema, la validación de equidad suele replegarse a las etapas finales previas al despliegue. Al respecto, Vasquez et al. (2024) señalan que la falta de un enfoque proactivo en las fases iniciales del desarrollo impide intervenciones oportunas, lo que provoca la amplificación del sesgo a lo largo de la canalización e incrementa drásticamente la complejidad técnica para mitigarlo en etapas posteriores.</w:t>
      </w:r>
    </w:p>
    <w:p>
      <w:pPr>
        <w:pStyle w:val="BodyText"/>
      </w:pPr>
      <w:r>
        <w:t xml:space="preserve">Aunado a la detección tardía, las auditorías tradicionales suelen evaluar el rendimiento y la equidad de la canalización de manera global, tratándola como un sistema opaco o de</w:t>
      </w:r>
      <w:r>
        <w:t xml:space="preserve"> </w:t>
      </w:r>
      <w:r>
        <w:t xml:space="preserve">“caja negra”</w:t>
      </w:r>
      <w:r>
        <w:t xml:space="preserve"> </w:t>
      </w:r>
      <w:r>
        <w:t xml:space="preserve">(Avuthu, 2021). Sin embargo, estudios recientes demuestran que este enfoque es ineficiente debido a que ignora la naturaleza composicional de la equidad; es decir, invisibiliza los sesgos que son inyectados de forma silenciosa por transformadores de datos individuales durante la etapa de preprocesamiento, tales como los imputadores o los escaladores (Biswas &amp; Rajan, 2021). En consecuencia, esta falta de verificación modular impide a los desarrolladores y científicos de datos localizar el componente exacto que origina la discriminación, lo que dificulta significativamente el diagnóstico y la reparación del defecto algorítmico (Nguyen, 2024).</w:t>
      </w:r>
    </w:p>
    <w:p>
      <w:pPr>
        <w:pStyle w:val="BodyText"/>
      </w:pPr>
      <w:r>
        <w:t xml:space="preserve">Finalmente, la validación estática resulta insuficiente frente al comportamiento dinámico de los entornos de producción, derivando en problemas de mantenimiento y cumplimiento normativo. Los datos del mundo real cambian constantemente y, si un modelo no es monitoreado de forma continua, puede comenzar a producir resultados que reflejan sesgos emergentes de manera inadvertida, un fenómeno conocido como deriva del sesgo (Avuthu, 2021; Caballar &amp; Stryker, 2024; Reda et al., 2025). A esta ineficiencia operativa se suma la incapacidad de los procesos manuales para generar documentación trazable orientada al aseguramiento continuo de la calidad, lo cual es hoy una exigencia legal de la ingeniería de software para IA (Reglamento IA UE, 2024). Sin una infraestructura que registre a nivel granular (semántico) el ciclo de vida del modelo, resulta inviable generar artefactos documentales que evidencien de manera transparente cómo se originó y mitigó el sesgo, erosionando la confianza institucional y bloqueando la capacidad de ejecutar auditorías efectivas (Russo &amp; Vidal, 2025; Russo et al., 2024).</w:t>
      </w:r>
    </w:p>
    <w:bookmarkEnd w:id="60"/>
    <w:bookmarkStart w:id="61" w:name="respuesta-a-pregunta-de-revisión-2"/>
    <w:p>
      <w:pPr>
        <w:pStyle w:val="Heading3"/>
      </w:pPr>
      <w:r>
        <w:t xml:space="preserve">3.7.2 Respuesta a Pregunta de Revisión 2</w:t>
      </w:r>
    </w:p>
    <w:p>
      <w:pPr>
        <w:pStyle w:val="FirstParagraph"/>
      </w:pPr>
      <w:r>
        <w:t xml:space="preserve">Para superar las limitaciones de los enfoques tradicionales de</w:t>
      </w:r>
      <w:r>
        <w:t xml:space="preserve"> </w:t>
      </w:r>
      <w:r>
        <w:t xml:space="preserve">“caja negra”</w:t>
      </w:r>
      <w:r>
        <w:t xml:space="preserve">, las arquitecturas modernas se basan en la automatización de la integración y entrega continua (Nivel 2 de MLOps), donde la validación de equidad se incorpora como una prueba de calidad estructural desde las primeras fases del desarrollo (Kazmierczak et al., 2024). En este nivel, destacan herramientas como ArgusEyes, la cual facilita la detección proactiva al inspeccionar las canalizaciones de código durante la integración continua y detener automáticamente el proceso de compilación (</w:t>
      </w:r>
      <w:r>
        <w:rPr>
          <w:i/>
          <w:iCs/>
        </w:rPr>
        <w:t xml:space="preserve">fail the build</w:t>
      </w:r>
      <w:r>
        <w:t xml:space="preserve">) si se vulneran los umbrales de equidad preestablecidos (Schelter et al., 2023). Esta postura preventiva se complementa con marcos de pruebas de estrés como Savage, que inyectan corrupciones adversarias de datos para evaluar sistemáticamente las vulnerabilidades del modelo antes de su paso a producción (Zhu et al., 2025), y con sistemas híbridos como HAMF, que integran pasos de auditoría ética para computar y alertar sobre disparidades estadísticas de forma automatizada (Reda et al., 2025).</w:t>
      </w:r>
    </w:p>
    <w:p>
      <w:pPr>
        <w:pStyle w:val="BodyText"/>
      </w:pPr>
      <w:r>
        <w:t xml:space="preserve">A diferencia de la evaluación global que oculta el sesgo inyectado por componentes individuales, los nuevos patrones de diseño promueven una evaluación estrictamente modular del código. En este sentido, investigaciones recientes proponen evaluar el preprocesamiento mediante razonamiento causal, comparando las predicciones de la canalización original frente a una variante que excluye un transformador de datos específico (como un escalador o un imputador), logrando así aislar el módulo exacto que está causando la discriminación (Biswas &amp; Rajan, 2021). Para operativizar esta modularidad, se ha propuesto el uso de</w:t>
      </w:r>
      <w:r>
        <w:t xml:space="preserve"> </w:t>
      </w:r>
      <w:r>
        <w:t xml:space="preserve">“Contratos de Equidad”</w:t>
      </w:r>
      <w:r>
        <w:t xml:space="preserve">, un patrón que adapta el Diseño por Contrato (</w:t>
      </w:r>
      <w:r>
        <w:rPr>
          <w:i/>
          <w:iCs/>
        </w:rPr>
        <w:t xml:space="preserve">Design by Contract</w:t>
      </w:r>
      <w:r>
        <w:t xml:space="preserve">) de la ingeniería de software al aprendizaje automático, permitiendo a los desarrolladores insertar anotaciones o decoradores directamente en el código para verificar precondiciones y postcondiciones de equidad a través de desigualdades de concentración (Nguyen, 2024). Adicionalmente, herramientas instrumentales como mlwhatif y mlinspect facilitan la depuración de la distribución de datos y el análisis declarativo tipo</w:t>
      </w:r>
      <w:r>
        <w:t xml:space="preserve"> </w:t>
      </w:r>
      <w:r>
        <w:t xml:space="preserve">“qué pasaría si”</w:t>
      </w:r>
      <w:r>
        <w:t xml:space="preserve">, permitiendo a los científicos de datos evaluar visualmente el impacto de distintas opciones de limpieza sobre la equidad sin la necesidad de reejecutar costosamente toda la canalización de manera repetida (Grafberger et al., 2022; Grafberger et al., 2023).</w:t>
      </w:r>
    </w:p>
    <w:bookmarkEnd w:id="61"/>
    <w:bookmarkStart w:id="62" w:name="respuesta-a-pregunta-de-revisión-3"/>
    <w:p>
      <w:pPr>
        <w:pStyle w:val="Heading3"/>
      </w:pPr>
      <w:r>
        <w:t xml:space="preserve">3.7.3 Respuesta a Pregunta de Revisión 3</w:t>
      </w:r>
    </w:p>
    <w:p>
      <w:pPr>
        <w:pStyle w:val="FirstParagraph"/>
      </w:pPr>
      <w:r>
        <w:t xml:space="preserve">En las arquitecturas MLOps modernas, el control de calidad (QA) se implementa mediante compuertas de calidad estrictas durante la fase de Integración y Entrega Continua (CI/CD) para bloquear el paso de modelos defectuosos. Un mecanismo destacado es la implementación de</w:t>
      </w:r>
      <w:r>
        <w:t xml:space="preserve"> </w:t>
      </w:r>
      <w:r>
        <w:t xml:space="preserve">“Contratos de Equidad”</w:t>
      </w:r>
      <w:r>
        <w:t xml:space="preserve"> </w:t>
      </w:r>
      <w:r>
        <w:t xml:space="preserve">(</w:t>
      </w:r>
      <w:r>
        <w:rPr>
          <w:i/>
          <w:iCs/>
        </w:rPr>
        <w:t xml:space="preserve">Fairness Contracts</w:t>
      </w:r>
      <w:r>
        <w:t xml:space="preserve">), los cuales adaptan el paradigma de diseño por contrato al aprendizaje automático mediante el uso de anotaciones que verifican precondiciones y postcondiciones modulares directamente en el código (Nguyen, 2024). Si un componente específico del pipeline viola una aserción de equidad en tiempo de ejecución, el sistema interrumpe automáticamente la ejecución (aborta el programa), impidiendo el despliegue del modelo sesgado y facilitando la localización exacta de la raíz del problema (Nguyen, 2024). Este escrutinio proactivo de CI/CD se complementa con herramientas de inspección como ArgusEyes, que detectan fugas de datos o problemas de etiquetado (Schelter et al., 2023). Asimismo, se aplican marcos de pruebas de estrés, como Savage, que inyectan corrupciones adversarias estructuradas en los datos (como valores faltantes o sesgos de selección) para evaluar sistemáticamente las vulnerabilidades del pipeline antes de su certificación operativa (Zhu et al., 2025).</w:t>
      </w:r>
    </w:p>
    <w:p>
      <w:pPr>
        <w:pStyle w:val="BodyText"/>
      </w:pPr>
      <w:r>
        <w:t xml:space="preserve">Una vez que el modelo supera estas compuertas y es desplegado, la arquitectura MLOps requiere de un monitoreo continuo en producción para mitigar la degradación del rendimiento algorítmico en el mundo real, en particular la deriva del sesgo o</w:t>
      </w:r>
      <w:r>
        <w:t xml:space="preserve"> </w:t>
      </w:r>
      <w:r>
        <w:rPr>
          <w:i/>
          <w:iCs/>
        </w:rPr>
        <w:t xml:space="preserve">bias drift</w:t>
      </w:r>
      <w:r>
        <w:t xml:space="preserve"> </w:t>
      </w:r>
      <w:r>
        <w:t xml:space="preserve">(Avuthu, 2021; Caballar &amp; Stryker, 2024). Sistemas a nivel de infraestructura, como Amazon SageMaker Model Monitor, abordan este desafío recopilando de manera automatizada los datos de las solicitudes de inferencia de los clientes y comparándolos contra líneas base (</w:t>
      </w:r>
      <w:r>
        <w:rPr>
          <w:i/>
          <w:iCs/>
        </w:rPr>
        <w:t xml:space="preserve">baselines</w:t>
      </w:r>
      <w:r>
        <w:t xml:space="preserve">) o restricciones calculadas durante el entrenamiento, lo que permite generar informes y alertar sobre violaciones de equidad (Nigenda et al., 2022). A un nivel más avanzado (Nivel 2 de MLOps), marcos híbridos como HAMF (</w:t>
      </w:r>
      <w:r>
        <w:rPr>
          <w:i/>
          <w:iCs/>
        </w:rPr>
        <w:t xml:space="preserve">Hybrid MLOps Framework</w:t>
      </w:r>
      <w:r>
        <w:t xml:space="preserve">) cierran el ciclo implementando un Módulo de Cumplimiento Ético integrado a los procesos de reentrenamiento (Reda et al., 2025). Ante un cambio en las condiciones del entorno, HAMF no solo detecta la deriva, sino que aplica estrategias de adaptación como la sustitución de características inestables guiada por explicabilidad (SHAP), garantizando de forma comprobable que los modelos reentrenados de forma automatizada no introduzcan discriminación contra grupos protegidos (Reda et al., 2025).</w:t>
      </w:r>
    </w:p>
    <w:bookmarkEnd w:id="62"/>
    <w:bookmarkStart w:id="63" w:name="respuesta-a-pregunta-de-revisión-4"/>
    <w:p>
      <w:pPr>
        <w:pStyle w:val="Heading3"/>
      </w:pPr>
      <w:r>
        <w:t xml:space="preserve">3.7.4 Respuesta a Pregunta de Revisión 4</w:t>
      </w:r>
    </w:p>
    <w:p>
      <w:pPr>
        <w:pStyle w:val="FirstParagraph"/>
      </w:pPr>
      <w:r>
        <w:t xml:space="preserve">La integración de herramientas de validación de equidad en canalizaciones MLOps empresariales enfrenta significativos desafíos técnicos y de interoperabilidad. En la práctica, los ecosistemas de aprendizaje automático están compuestos por múltiples transformadores de datos y algoritmos que a menudo operan como</w:t>
      </w:r>
      <w:r>
        <w:t xml:space="preserve"> </w:t>
      </w:r>
      <w:r>
        <w:t xml:space="preserve">“cajas negras”</w:t>
      </w:r>
      <w:r>
        <w:t xml:space="preserve">, lo que dificulta la extracción y comunicación de métricas de equidad a través de las distintas fases del desarrollo y despliegue (Avuthu, 2021). Las herramientas tradicionales de mitigación y evaluación de sesgos suelen estar fragmentadas, careciendo de vocabularios estandarizados o formatos interoperables para compartir resultados a lo largo del ciclo de vida del modelo (Russo &amp; Vidal, 2025). Esta heterogeneidad técnica complica el aseguramiento continuo de la calidad (QA), ya que implementar controles en infraestructuras nativas de la nube exige que los módulos de monitoreo operen integrados en tiempo real sin sobrecargar el sistema ni degradar la latencia de las inferencias (Avuthu, 2021; Biswas &amp; Rajan, 2021).</w:t>
      </w:r>
    </w:p>
    <w:p>
      <w:pPr>
        <w:pStyle w:val="BodyText"/>
      </w:pPr>
      <w:r>
        <w:t xml:space="preserve">Para superar estas barreras y cumplir con marcos de gobernanza estrictos —como la Ley de IA a nivel internacional (Reglamento IA UE, 2024) y las recientes exigencias de auditoría para sistemas de riesgo alto en el Perú (Presidencia del Consejo de Ministros [PCM], 2025)—, las arquitecturas modernas abordan este problema mediante la implementación de la trazabilidad semántica. Utilizando sistemas neurosimbólicos y marcos basados en ontologías, como InterpretME y Doc-BiasO, es posible capturar a nivel granular el linaje de los datos, los parámetros de preprocesamiento y las métricas de sesgo calculadas, estructurando toda esta información en Grafos de Conocimiento (Russo &amp; Vidal, 2025; Russo et al., 2024). Esta representación enriquece semánticamente los metadatos en cada etapa de la canalización, generando un registro estandarizado que es comprensible tanto para sistemas automatizados como para auditores humanos (Russo et al., 2024). De este modo, las empresas logran traducir métricas matemáticas complejas en documentación probatoria y auditable, un requisito indispensable para ejecutar una correcta Gestión de Riesgos de Modelos (MRM) y garantizar la transparencia legal y ética de la IA en producción (Caballar &amp; Stryker, 2024; PCM, 2025).</w:t>
      </w:r>
    </w:p>
    <w:bookmarkEnd w:id="63"/>
    <w:bookmarkEnd w:id="64"/>
    <w:bookmarkStart w:id="65" w:name="conclusiones-del-estado-del-arte"/>
    <w:p>
      <w:pPr>
        <w:pStyle w:val="Heading2"/>
      </w:pPr>
      <w:r>
        <w:t xml:space="preserve">3.8 Conclusiones del Estado del Arte</w:t>
      </w:r>
    </w:p>
    <w:p>
      <w:pPr>
        <w:pStyle w:val="FirstParagraph"/>
      </w:pPr>
      <w:r>
        <w:t xml:space="preserve">La revisión sistemática de la literatura desarrollada en este capítulo, ejecutada bajo la metodología PRISMA sobre bases de datos de alto impacto (Scopus, IEEE Xplore y Google Académico), permitió consolidar una selección final de 22 estudios primarios altamente relevantes para la investigación. El análisis de estos documentos evidencia una transición crítica en la ingeniería de software para IA, revelando explícitamente tres limitaciones operativas y arquitectónicas principales en los enfoques actuales:</w:t>
      </w:r>
    </w:p>
    <w:p>
      <w:pPr>
        <w:pStyle w:val="Compact"/>
        <w:numPr>
          <w:ilvl w:val="0"/>
          <w:numId w:val="1023"/>
        </w:numPr>
      </w:pPr>
      <w:r>
        <w:rPr>
          <w:b/>
          <w:bCs/>
        </w:rPr>
        <w:t xml:space="preserve">El enfoque de</w:t>
      </w:r>
      <w:r>
        <w:rPr>
          <w:b/>
          <w:bCs/>
        </w:rPr>
        <w:t xml:space="preserve"> </w:t>
      </w:r>
      <w:r>
        <w:rPr>
          <w:b/>
          <w:bCs/>
        </w:rPr>
        <w:t xml:space="preserve">“caja negra”</w:t>
      </w:r>
      <w:r>
        <w:rPr>
          <w:b/>
          <w:bCs/>
        </w:rPr>
        <w:t xml:space="preserve"> </w:t>
      </w:r>
      <w:r>
        <w:rPr>
          <w:b/>
          <w:bCs/>
        </w:rPr>
        <w:t xml:space="preserve">y la validación manual tardía (Limitación operativa):</w:t>
      </w:r>
      <w:r>
        <w:t xml:space="preserve"> </w:t>
      </w:r>
      <w:r>
        <w:t xml:space="preserve">Los procesos tradicionales de validación de modelos tratan al sistema como un bloque monolítico y postergan las auditorías hasta las fases previas al despliegue. Esta desconexión los hace ineficientes para detectar sesgos de naturaleza composicional (aquellos inyectados silenciosamente en etapas intermedias, como el preprocesamiento).</w:t>
      </w:r>
    </w:p>
    <w:p>
      <w:pPr>
        <w:pStyle w:val="Compact"/>
        <w:numPr>
          <w:ilvl w:val="0"/>
          <w:numId w:val="1023"/>
        </w:numPr>
      </w:pPr>
      <w:r>
        <w:rPr>
          <w:b/>
          <w:bCs/>
        </w:rPr>
        <w:t xml:space="preserve">Vulnerabilidad ante la deriva del sesgo o</w:t>
      </w:r>
      <w:r>
        <w:rPr>
          <w:b/>
          <w:bCs/>
        </w:rPr>
        <w:t xml:space="preserve"> </w:t>
      </w:r>
      <w:r>
        <w:rPr>
          <w:b/>
          <w:bCs/>
          <w:i/>
          <w:iCs/>
        </w:rPr>
        <w:t xml:space="preserve">bias drift</w:t>
      </w:r>
      <w:r>
        <w:rPr>
          <w:b/>
          <w:bCs/>
        </w:rPr>
        <w:t xml:space="preserve"> </w:t>
      </w:r>
      <w:r>
        <w:rPr>
          <w:b/>
          <w:bCs/>
        </w:rPr>
        <w:t xml:space="preserve">(Limitación arquitectónica):</w:t>
      </w:r>
      <w:r>
        <w:t xml:space="preserve"> </w:t>
      </w:r>
      <w:r>
        <w:t xml:space="preserve">Los enfoques clásicos carecen de controles continuos automatizados dentro del flujo de trabajo, lo que deja a los modelos desprotegidos y altamente vulnerables a adquirir nuevos sesgos una vez que operan con datos dinámicos en producción.</w:t>
      </w:r>
    </w:p>
    <w:p>
      <w:pPr>
        <w:pStyle w:val="Compact"/>
        <w:numPr>
          <w:ilvl w:val="0"/>
          <w:numId w:val="1023"/>
        </w:numPr>
      </w:pPr>
      <w:r>
        <w:rPr>
          <w:b/>
          <w:bCs/>
        </w:rPr>
        <w:t xml:space="preserve">Fragmentación de herramientas y falta de trazabilidad (Limitación tecnológica y operativa):</w:t>
      </w:r>
      <w:r>
        <w:t xml:space="preserve"> </w:t>
      </w:r>
      <w:r>
        <w:t xml:space="preserve">Las herramientas de auditoría tradicionales se encuentran aisladas y carecen de interoperabilidad. Esta desconexión técnica imposibilita la creación de una trazabilidad semántica estructurada para los artefactos de aprendizaje automático, dificultando enormemente la generación de la documentación auditable que exigen los reguladores.</w:t>
      </w:r>
    </w:p>
    <w:p>
      <w:pPr>
        <w:pStyle w:val="FirstParagraph"/>
      </w:pPr>
      <w:r>
        <w:t xml:space="preserve">Para superar estas deficiencias estructurales, el estado del arte resalta la necesidad de adoptar arquitecturas MLOps modernas fundamentadas en la integración y entrega continua (CI/CD), las cuales incorporan la evaluación de equidad de manera modular y desde las etapas más tempranas. La literatura demuestra que la implementación de compuertas de calidad automatizadas es la estrategia más efectiva para un control proactivo. El uso de mecanismos como Contratos de Equidad, herramientas de inspección durante la compilación (como ArgusEyes) y marcos de pruebas de estrés (como Savage) permite interrumpir automáticamente las canalizaciones al detectar vulnerabilidades, bloqueando el despliegue de modelos discriminatorios antes de que lleguen a los usuarios finales.</w:t>
      </w:r>
    </w:p>
    <w:p>
      <w:pPr>
        <w:pStyle w:val="BodyText"/>
      </w:pPr>
      <w:r>
        <w:t xml:space="preserve">Asimismo, para hacer frente al desafío de la interoperabilidad, la integración de ontologías (como Doc-BiasO) y Grafos de Conocimiento se ha posicionado como la solución tecnológica idónea para estructurar el linaje de los datos y generar la documentación auditable necesaria. Esta infraestructura documental no solo facilita la depuración técnica, sino que se ha convertido en un requisito legal ineludible frente a normativas recientes, como la Ley de IA de la Unión Europea y el Decreto Supremo N° 115-2025-PCM (Reglamento de la Ley N° 31814) en el Perú, que exigen transparencia y rendición de cuentas para los sistemas de alto riesgo.</w:t>
      </w:r>
    </w:p>
    <w:p>
      <w:pPr>
        <w:pStyle w:val="BodyText"/>
      </w:pPr>
      <w:r>
        <w:t xml:space="preserve">En conclusión, los hallazgos de esta revisión sistemática validan de forma contundente la pertinencia tecnológica y regulatoria de la arquitectura propuesta en esta tesis. Al diseñar una solución MLOps que integra compuertas de calidad (QA Gates) automatizadas para la evaluación continua de la equidad, respaldada por un modelo conceptual de trazabilidad semántica, esta investigación cerrará las brechas operativas identificadas en la literatura y habilitará un ecosistema de despliegue de software confiable, justo y alineado con las normativas éticas y legales vigentes.</w:t>
      </w:r>
    </w:p>
    <w:bookmarkEnd w:id="65"/>
    <w:bookmarkEnd w:id="66"/>
    <w:bookmarkStart w:id="107" w:name="X875d03d9deaed95a382daa7102595c1d703181e"/>
    <w:p>
      <w:pPr>
        <w:pStyle w:val="Heading1"/>
      </w:pPr>
      <w:r>
        <w:t xml:space="preserve">Capítulo 4: Diseño de la propuesta de solución</w:t>
      </w:r>
    </w:p>
    <w:bookmarkStart w:id="67" w:name="introducción-1"/>
    <w:p>
      <w:pPr>
        <w:pStyle w:val="Heading2"/>
      </w:pPr>
      <w:r>
        <w:t xml:space="preserve">4.1 Introducción</w:t>
      </w:r>
    </w:p>
    <w:p>
      <w:pPr>
        <w:pStyle w:val="FirstParagraph"/>
      </w:pPr>
      <w:r>
        <w:t xml:space="preserve">El presente capítulo expone de manera formal el desarrollo metodológico y los productos de ingeniería correspondientes al Objetivo Específico O2 de esta investigación, el cual consiste en:</w:t>
      </w:r>
      <w:r>
        <w:t xml:space="preserve"> </w:t>
      </w:r>
      <w:r>
        <w:t xml:space="preserve">“Diseñar el esquema de la arquitectura MLOps que integre compuertas de calidad (</w:t>
      </w:r>
      <w:r>
        <w:rPr>
          <w:i/>
          <w:iCs/>
        </w:rPr>
        <w:t xml:space="preserve">QA Gates</w:t>
      </w:r>
      <w:r>
        <w:t xml:space="preserve">) modulares, gobernadas por contratos de equidad declarativos, y un modelo semántico para garantizar la trazabilidad ética en todas las etapas del</w:t>
      </w:r>
      <w:r>
        <w:t xml:space="preserve"> </w:t>
      </w:r>
      <w:r>
        <w:rPr>
          <w:i/>
          <w:iCs/>
        </w:rPr>
        <w:t xml:space="preserve">pipeline</w:t>
      </w:r>
      <w:r>
        <w:t xml:space="preserve"> </w:t>
      </w:r>
      <w:r>
        <w:t xml:space="preserve">de</w:t>
      </w:r>
      <w:r>
        <w:t xml:space="preserve"> </w:t>
      </w:r>
      <w:r>
        <w:rPr>
          <w:i/>
          <w:iCs/>
        </w:rPr>
        <w:t xml:space="preserve">scoring</w:t>
      </w:r>
      <w:r>
        <w:t xml:space="preserve"> </w:t>
      </w:r>
      <w:r>
        <w:t xml:space="preserve">crediticio”</w:t>
      </w:r>
      <w:r>
        <w:t xml:space="preserve">. En las organizaciones de tecnología financiera (</w:t>
      </w:r>
      <w:r>
        <w:rPr>
          <w:i/>
          <w:iCs/>
        </w:rPr>
        <w:t xml:space="preserve">Fintech</w:t>
      </w:r>
      <w:r>
        <w:t xml:space="preserve">), el aseguramiento de la equidad se ha abordado históricamente mediante auditorías estáticas, desarticuladas y tardías sobre el modelo final, asumiendo una concepción monolítica del pipeline de</w:t>
      </w:r>
      <w:r>
        <w:t xml:space="preserve"> </w:t>
      </w:r>
      <w:r>
        <w:rPr>
          <w:i/>
          <w:iCs/>
        </w:rPr>
        <w:t xml:space="preserve">Machine Learning</w:t>
      </w:r>
      <w:r>
        <w:t xml:space="preserve"> </w:t>
      </w:r>
      <w:r>
        <w:t xml:space="preserve">(Nguyen, 2024; Biswas &amp; Rajan, 2021). Este enfoque impide localizar con precisión qué transformador de software o lote de datos específico inyectó la desviación discriminatoria, eleva los costos de depuración y expone a las entidades a sanciones bajo marcos regulatorios como la</w:t>
      </w:r>
      <w:r>
        <w:t xml:space="preserve"> </w:t>
      </w:r>
      <w:r>
        <w:rPr>
          <w:i/>
          <w:iCs/>
        </w:rPr>
        <w:t xml:space="preserve">Equal Credit Opportunity Act</w:t>
      </w:r>
      <w:r>
        <w:t xml:space="preserve"> </w:t>
      </w:r>
      <w:r>
        <w:t xml:space="preserve">(ECOA) de Estados Unidos, el Reglamento de IA de la Unión Europea o el Reglamento peruano de la Ley N.° 31814, que califican el uso de IA para la evaluación crediticia de personas como de riesgo alto (ECOA, 1974; Reglamento IA UE, 2024; PCM, 2025).</w:t>
      </w:r>
    </w:p>
    <w:p>
      <w:pPr>
        <w:pStyle w:val="BodyText"/>
      </w:pPr>
      <w:r>
        <w:t xml:space="preserve">El diseño que se presenta obedece a tres principios. Primero,</w:t>
      </w:r>
      <w:r>
        <w:t xml:space="preserve"> </w:t>
      </w:r>
      <w:r>
        <w:rPr>
          <w:b/>
          <w:bCs/>
        </w:rPr>
        <w:t xml:space="preserve">cada control debe ser medible</w:t>
      </w:r>
      <w:r>
        <w:t xml:space="preserve">: toda compuerta produce un valor numérico, un intervalo de confianza, un umbral y un resultado registrable. Segundo,</w:t>
      </w:r>
      <w:r>
        <w:t xml:space="preserve"> </w:t>
      </w:r>
      <w:r>
        <w:rPr>
          <w:b/>
          <w:bCs/>
        </w:rPr>
        <w:t xml:space="preserve">un único mecanismo evalúa todos los controles</w:t>
      </w:r>
      <w:r>
        <w:t xml:space="preserve">: los contratos de equidad se expresan en un esquema declarativo común y son ejecutados por un mismo motor, lo que permite agregar atributos protegidos o métricas sin reescribir las pruebas. Tercero,</w:t>
      </w:r>
      <w:r>
        <w:t xml:space="preserve"> </w:t>
      </w:r>
      <w:r>
        <w:rPr>
          <w:b/>
          <w:bCs/>
        </w:rPr>
        <w:t xml:space="preserve">la trazabilidad se construye con vocabularios estándar</w:t>
      </w:r>
      <w:r>
        <w:t xml:space="preserve"> </w:t>
      </w:r>
      <w:r>
        <w:t xml:space="preserve">del W3C, reutilizando ontologías existentes en lugar de definir un vocabulario completamente nuevo.</w:t>
      </w:r>
    </w:p>
    <w:p>
      <w:pPr>
        <w:pStyle w:val="BodyText"/>
      </w:pPr>
      <w:r>
        <w:t xml:space="preserve">En concordancia con las directrices de diseño metodológico, las secciones siguientes describen y verifican los tres resultados esperados: el esquema del sistema bajo el Modelo C4 (R.E.2.1), que define las cuatro zonas y la ubicación de las compuertas de calidad; la especificación de los componentes modulares de validación de equidad (R.E.2.2), que incluye el motor de contratos y la formulación matemática de los Contratos C1 a C4; y el modelo conceptual de trazabilidad semántica (R.E.2.3). Finalmente, se presenta una discusión que interpreta el diseño, lo contextualiza frente a la literatura y declara sus limitaciones.</w:t>
      </w:r>
    </w:p>
    <w:bookmarkEnd w:id="67"/>
    <w:bookmarkStart w:id="90" w:name="Xe899a819e4d8211f8ab492e4ecfc6efec0bf734"/>
    <w:p>
      <w:pPr>
        <w:pStyle w:val="Heading2"/>
      </w:pPr>
      <w:r>
        <w:t xml:space="preserve">4.2 Esquema arquitectónico detallado (Modelo C4) y flujos CI/CD</w:t>
      </w:r>
    </w:p>
    <w:bookmarkStart w:id="86" w:name="descripción-del-resultado-alcanzado"/>
    <w:p>
      <w:pPr>
        <w:pStyle w:val="Heading3"/>
      </w:pPr>
      <w:r>
        <w:t xml:space="preserve">4.2.1. Descripción del resultado alcanzado</w:t>
      </w:r>
    </w:p>
    <w:p>
      <w:pPr>
        <w:pStyle w:val="FirstParagraph"/>
      </w:pPr>
      <w:r>
        <w:t xml:space="preserve">El primer resultado consiste en el diseño de la topología lógica de la solución, denominada</w:t>
      </w:r>
      <w:r>
        <w:t xml:space="preserve"> </w:t>
      </w:r>
      <w:r>
        <w:t xml:space="preserve">“Sistema MLOps Fairness QA”</w:t>
      </w:r>
      <w:r>
        <w:t xml:space="preserve">, modelada con el enfoque C4 en tres niveles de abstracción.</w:t>
      </w:r>
    </w:p>
    <w:p>
      <w:pPr>
        <w:pStyle w:val="BodyText"/>
      </w:pPr>
      <w:r>
        <w:rPr>
          <w:b/>
          <w:bCs/>
        </w:rPr>
        <w:t xml:space="preserve">Nivel 1: Diagrama de Contexto.</w:t>
      </w:r>
      <w:r>
        <w:t xml:space="preserve"> </w:t>
      </w:r>
      <w:r>
        <w:t xml:space="preserve">El sistema interactúa con dos usuarios y dos sistemas externos. El</w:t>
      </w:r>
      <w:r>
        <w:t xml:space="preserve"> </w:t>
      </w:r>
      <w:r>
        <w:rPr>
          <w:b/>
          <w:bCs/>
        </w:rPr>
        <w:t xml:space="preserve">Científico de Datos</w:t>
      </w:r>
      <w:r>
        <w:t xml:space="preserve"> </w:t>
      </w:r>
      <w:r>
        <w:t xml:space="preserve">configura los contratos de equidad y ejecuta el pipeline; el</w:t>
      </w:r>
      <w:r>
        <w:t xml:space="preserve"> </w:t>
      </w:r>
      <w:r>
        <w:rPr>
          <w:b/>
          <w:bCs/>
        </w:rPr>
        <w:t xml:space="preserve">Auditor del Sistema</w:t>
      </w:r>
      <w:r>
        <w:t xml:space="preserve"> </w:t>
      </w:r>
      <w:r>
        <w:t xml:space="preserve">consulta la trazabilidad y obtiene reportes de cumplimiento. El sistema recibe datos tabulares de una</w:t>
      </w:r>
      <w:r>
        <w:t xml:space="preserve"> </w:t>
      </w:r>
      <w:r>
        <w:rPr>
          <w:b/>
          <w:bCs/>
        </w:rPr>
        <w:t xml:space="preserve">Fuente de datos</w:t>
      </w:r>
      <w:r>
        <w:t xml:space="preserve"> </w:t>
      </w:r>
      <w:r>
        <w:t xml:space="preserve">externa y es activado por un</w:t>
      </w:r>
      <w:r>
        <w:t xml:space="preserve"> </w:t>
      </w:r>
      <w:r>
        <w:rPr>
          <w:b/>
          <w:bCs/>
        </w:rPr>
        <w:t xml:space="preserve">Orquestador de CI/CD</w:t>
      </w:r>
      <w:r>
        <w:t xml:space="preserve"> </w:t>
      </w:r>
      <w:r>
        <w:t xml:space="preserve">externo, que gestiona el código fuente y dispara los eventos de integración y entrega continua (</w:t>
      </w:r>
      <w:r>
        <w:rPr>
          <w:i/>
          <w:iCs/>
        </w:rPr>
        <w:t xml:space="preserve">triggers</w:t>
      </w:r>
      <w:r>
        <w:t xml:space="preserve">).</w:t>
      </w:r>
    </w:p>
    <w:p>
      <w:pPr>
        <w:pStyle w:val="BodyText"/>
        <w:jc w:val="center"/>
      </w:pPr>
      <w:r>
        <w:drawing>
          <wp:inline>
            <wp:extent cx="5579999" cy="4750197"/>
            <wp:effectExtent b="0" l="0" r="0" t="0"/>
            <wp:docPr descr="" title="" id="69" name="Picture"/>
            <a:graphic>
              <a:graphicData uri="http://schemas.openxmlformats.org/drawingml/2006/picture">
                <pic:pic>
                  <pic:nvPicPr>
                    <pic:cNvPr descr="C:\Users\a2020\AppData\Local\Temp\claude\C--Users-a2020-Documents-Tesis-Base-de-conocimiento\2da876e2-3967-4d50-bed3-94aaa36887e5\scratchpad/mmd/fig04.png" id="70" name="Picture"/>
                    <pic:cNvPicPr>
                      <a:picLocks noChangeArrowheads="1" noChangeAspect="1"/>
                    </pic:cNvPicPr>
                  </pic:nvPicPr>
                  <pic:blipFill>
                    <a:blip r:embed="rId68"/>
                    <a:stretch>
                      <a:fillRect/>
                    </a:stretch>
                  </pic:blipFill>
                  <pic:spPr bwMode="auto">
                    <a:xfrm>
                      <a:off x="0" y="0"/>
                      <a:ext cx="5579999" cy="4750197"/>
                    </a:xfrm>
                    <a:prstGeom prst="rect">
                      <a:avLst/>
                    </a:prstGeom>
                    <a:noFill/>
                    <a:ln w="9525">
                      <a:noFill/>
                      <a:headEnd/>
                      <a:tailEnd/>
                    </a:ln>
                  </pic:spPr>
                </pic:pic>
              </a:graphicData>
            </a:graphic>
          </wp:inline>
        </w:drawing>
      </w:r>
    </w:p>
    <w:p>
      <w:pPr>
        <w:pStyle w:val="BodyText"/>
        <w:keepNext w:val="0"/>
        <w:jc w:val="center"/>
      </w:pPr>
      <w:r>
        <w:rPr>
          <w:b/>
          <w:bCs/>
        </w:rPr>
        <w:t xml:space="preserve">Figura 4: Diagrama de Contexto (C4, Nivel 1)</w:t>
      </w:r>
    </w:p>
    <w:p>
      <w:pPr>
        <w:pStyle w:val="BodyText"/>
      </w:pPr>
      <w:r>
        <w:rPr>
          <w:rStyle w:val="Pendiente"/>
        </w:rPr>
        <w:t xml:space="preserve">PENDIENTE: las Figuras 4 a 9 son diagramas provisionales generados automáticamente; redibujarlos en Lucidchart.</w:t>
      </w:r>
    </w:p>
    <w:p>
      <w:pPr>
        <w:pStyle w:val="BodyText"/>
      </w:pPr>
      <w:r>
        <w:rPr>
          <w:b/>
          <w:bCs/>
        </w:rPr>
        <w:t xml:space="preserve">Nivel 2: Diagrama de Contenedores.</w:t>
      </w:r>
      <w:r>
        <w:t xml:space="preserve"> </w:t>
      </w:r>
      <w:r>
        <w:t xml:space="preserve">El sistema se descompone en cuatro contenedores operativos, denominados</w:t>
      </w:r>
      <w:r>
        <w:t xml:space="preserve"> </w:t>
      </w:r>
      <w:r>
        <w:t xml:space="preserve">“Zonas”</w:t>
      </w:r>
      <w:r>
        <w:t xml:space="preserve">, más dos contenedores transversales:</w:t>
      </w:r>
    </w:p>
    <w:p>
      <w:pPr>
        <w:pStyle w:val="Compact"/>
        <w:numPr>
          <w:ilvl w:val="0"/>
          <w:numId w:val="1024"/>
        </w:numPr>
      </w:pPr>
      <w:r>
        <w:rPr>
          <w:b/>
          <w:bCs/>
        </w:rPr>
        <w:t xml:space="preserve">Zona 1 (Ingesta, transformación y validación de datos):</w:t>
      </w:r>
      <w:r>
        <w:t xml:space="preserve"> </w:t>
      </w:r>
      <w:r>
        <w:t xml:space="preserve">pipeline de datos en Python con pandas, Pandera y DVC. Aloja la QA Gate 1 (Contrato C1) y la QA Gate 2 (Contrato C2).</w:t>
      </w:r>
    </w:p>
    <w:p>
      <w:pPr>
        <w:pStyle w:val="Compact"/>
        <w:numPr>
          <w:ilvl w:val="0"/>
          <w:numId w:val="1024"/>
        </w:numPr>
      </w:pPr>
      <w:r>
        <w:rPr>
          <w:b/>
          <w:bCs/>
        </w:rPr>
        <w:t xml:space="preserve">Zona 2 (Integración continua, entrenamiento y QA del modelo):</w:t>
      </w:r>
      <w:r>
        <w:t xml:space="preserve"> </w:t>
      </w:r>
      <w:r>
        <w:t xml:space="preserve">pipeline de</w:t>
      </w:r>
      <w:r>
        <w:t xml:space="preserve"> </w:t>
      </w:r>
      <w:r>
        <w:rPr>
          <w:i/>
          <w:iCs/>
        </w:rPr>
        <w:t xml:space="preserve">Machine Learning</w:t>
      </w:r>
      <w:r>
        <w:t xml:space="preserve"> </w:t>
      </w:r>
      <w:r>
        <w:t xml:space="preserve">con scikit-learn y Fairlearn (Weerts et al., 2023). Aloja la QA Gate 3 (Contrato C3) y su etapa de remediación.</w:t>
      </w:r>
    </w:p>
    <w:p>
      <w:pPr>
        <w:pStyle w:val="Compact"/>
        <w:numPr>
          <w:ilvl w:val="0"/>
          <w:numId w:val="1024"/>
        </w:numPr>
      </w:pPr>
      <w:r>
        <w:rPr>
          <w:b/>
          <w:bCs/>
        </w:rPr>
        <w:t xml:space="preserve">Zona 3 (Scoring por lotes y monitoreo continuo):</w:t>
      </w:r>
      <w:r>
        <w:t xml:space="preserve"> </w:t>
      </w:r>
      <w:r>
        <w:t xml:space="preserve">servicio de puntuación por lotes, monitor de deriva de datos (Evidently), monitor de deriva del sesgo (Contrato C4) y generador de razones de rechazo basado en SHAP.</w:t>
      </w:r>
    </w:p>
    <w:p>
      <w:pPr>
        <w:pStyle w:val="Compact"/>
        <w:numPr>
          <w:ilvl w:val="0"/>
          <w:numId w:val="1024"/>
        </w:numPr>
      </w:pPr>
      <w:r>
        <w:rPr>
          <w:b/>
          <w:bCs/>
        </w:rPr>
        <w:t xml:space="preserve">Zona 4 (Trazabilidad semántica y auditoría):</w:t>
      </w:r>
      <w:r>
        <w:t xml:space="preserve"> </w:t>
      </w:r>
      <w:r>
        <w:t xml:space="preserve">exportador de metadatos a RDF con RDFLib, ontología basada en PROV-O y DQV, validación con SHACL, consultas SPARQL y generador del reporte de cumplimiento (Lebo et al., 2013; Albertoni &amp; Isaac, 2016; Knublauch &amp; Kontokostas, 2017).</w:t>
      </w:r>
    </w:p>
    <w:p>
      <w:pPr>
        <w:pStyle w:val="Compact"/>
        <w:numPr>
          <w:ilvl w:val="0"/>
          <w:numId w:val="1024"/>
        </w:numPr>
      </w:pPr>
      <w:r>
        <w:rPr>
          <w:b/>
          <w:bCs/>
        </w:rPr>
        <w:t xml:space="preserve">Motor de contratos (transversal):</w:t>
      </w:r>
      <w:r>
        <w:t xml:space="preserve"> </w:t>
      </w:r>
      <w:r>
        <w:t xml:space="preserve">componente que carga los contratos declarativos (archivos YAML), valida su estructura, calcula las métricas y decide el resultado de cada compuerta en las Zonas 1, 2 y 3.</w:t>
      </w:r>
    </w:p>
    <w:p>
      <w:pPr>
        <w:pStyle w:val="Compact"/>
        <w:numPr>
          <w:ilvl w:val="0"/>
          <w:numId w:val="1024"/>
        </w:numPr>
      </w:pPr>
      <w:r>
        <w:rPr>
          <w:b/>
          <w:bCs/>
        </w:rPr>
        <w:t xml:space="preserve">Canal de Linaje — MLflow (transversal):</w:t>
      </w:r>
      <w:r>
        <w:t xml:space="preserve"> </w:t>
      </w:r>
      <w:r>
        <w:t xml:space="preserve">registro de experimentos que actúa como único bus de metadatos entre las zonas (Zaharia et al., 2018). Las Zonas 1, 2 y 3 escriben en él la procedencia de los datos (hash de DVC), los parámetros, cada ejecución de compuerta, las métricas de equidad con sus intervalos de confianza, los modelos, las razones de rechazo y las alertas de deriva. La Zona 4 lo consume como</w:t>
      </w:r>
      <w:r>
        <w:t xml:space="preserve"> </w:t>
      </w:r>
      <w:r>
        <w:rPr>
          <w:b/>
          <w:bCs/>
        </w:rPr>
        <w:t xml:space="preserve">única fuente de entrada</w:t>
      </w:r>
      <w:r>
        <w:t xml:space="preserve"> </w:t>
      </w:r>
      <w:r>
        <w:t xml:space="preserve">para construir el grafo de conocimiento.</w:t>
      </w:r>
    </w:p>
    <w:p>
      <w:pPr>
        <w:pStyle w:val="FirstParagraph"/>
        <w:jc w:val="center"/>
      </w:pPr>
      <w:r>
        <w:drawing>
          <wp:inline>
            <wp:extent cx="2818900" cy="7199999"/>
            <wp:effectExtent b="0" l="0" r="0" t="0"/>
            <wp:docPr descr="" title="" id="72" name="Picture"/>
            <a:graphic>
              <a:graphicData uri="http://schemas.openxmlformats.org/drawingml/2006/picture">
                <pic:pic>
                  <pic:nvPicPr>
                    <pic:cNvPr descr="C:\Users\a2020\AppData\Local\Temp\claude\C--Users-a2020-Documents-Tesis-Base-de-conocimiento\2da876e2-3967-4d50-bed3-94aaa36887e5\scratchpad/mmd/fig05.png" id="73" name="Picture"/>
                    <pic:cNvPicPr>
                      <a:picLocks noChangeArrowheads="1" noChangeAspect="1"/>
                    </pic:cNvPicPr>
                  </pic:nvPicPr>
                  <pic:blipFill>
                    <a:blip r:embed="rId71"/>
                    <a:stretch>
                      <a:fillRect/>
                    </a:stretch>
                  </pic:blipFill>
                  <pic:spPr bwMode="auto">
                    <a:xfrm>
                      <a:off x="0" y="0"/>
                      <a:ext cx="2818900" cy="7199999"/>
                    </a:xfrm>
                    <a:prstGeom prst="rect">
                      <a:avLst/>
                    </a:prstGeom>
                    <a:noFill/>
                    <a:ln w="9525">
                      <a:noFill/>
                      <a:headEnd/>
                      <a:tailEnd/>
                    </a:ln>
                  </pic:spPr>
                </pic:pic>
              </a:graphicData>
            </a:graphic>
          </wp:inline>
        </w:drawing>
      </w:r>
    </w:p>
    <w:p>
      <w:pPr>
        <w:pStyle w:val="BodyText"/>
        <w:keepNext w:val="0"/>
        <w:jc w:val="center"/>
      </w:pPr>
      <w:r>
        <w:rPr>
          <w:b/>
          <w:bCs/>
        </w:rPr>
        <w:t xml:space="preserve">Figura 5: Diagrama de Contenedores (C4, Nivel 2)</w:t>
      </w:r>
    </w:p>
    <w:p>
      <w:pPr>
        <w:pStyle w:val="BodyText"/>
      </w:pPr>
      <w:r>
        <w:rPr>
          <w:b/>
          <w:bCs/>
        </w:rPr>
        <w:t xml:space="preserve">Nivel 3: Diagrama de Componentes y flujos CI/CD.</w:t>
      </w:r>
      <w:r>
        <w:t xml:space="preserve"> </w:t>
      </w:r>
      <w:r>
        <w:t xml:space="preserve">Este nivel detalla el comportamiento interno de cada zona y la ubicación de las compuertas de calidad (</w:t>
      </w:r>
      <w:r>
        <w:rPr>
          <w:i/>
          <w:iCs/>
        </w:rPr>
        <w:t xml:space="preserve">QA Gates</w:t>
      </w:r>
      <w:r>
        <w:t xml:space="preserve">):</w:t>
      </w:r>
    </w:p>
    <w:p>
      <w:pPr>
        <w:pStyle w:val="Compact"/>
        <w:numPr>
          <w:ilvl w:val="0"/>
          <w:numId w:val="1025"/>
        </w:numPr>
      </w:pPr>
      <w:r>
        <w:rPr>
          <w:b/>
          <w:bCs/>
        </w:rPr>
        <w:t xml:space="preserve">Zona 1 (Ingesta y transformación):</w:t>
      </w:r>
      <w:r>
        <w:t xml:space="preserve"> </w:t>
      </w:r>
      <w:r>
        <w:t xml:space="preserve">el</w:t>
      </w:r>
      <w:r>
        <w:t xml:space="preserve"> </w:t>
      </w:r>
      <w:r>
        <w:t xml:space="preserve">“Ingestor de datos”</w:t>
      </w:r>
      <w:r>
        <w:t xml:space="preserve"> </w:t>
      </w:r>
      <w:r>
        <w:t xml:space="preserve">carga el lote crudo, calcula su hash (el mismo que registra DVC) y descarta las columnas declaradas como prohibidas en el contrato. El</w:t>
      </w:r>
      <w:r>
        <w:t xml:space="preserve"> </w:t>
      </w:r>
      <w:r>
        <w:t xml:space="preserve">“Validador de esquema”</w:t>
      </w:r>
      <w:r>
        <w:t xml:space="preserve"> </w:t>
      </w:r>
      <w:r>
        <w:t xml:space="preserve">(Pandera) y el</w:t>
      </w:r>
      <w:r>
        <w:t xml:space="preserve"> </w:t>
      </w:r>
      <w:r>
        <w:t xml:space="preserve">“Evaluador de representatividad”</w:t>
      </w:r>
      <w:r>
        <w:t xml:space="preserve"> </w:t>
      </w:r>
      <w:r>
        <w:t xml:space="preserve">ejecutan la</w:t>
      </w:r>
      <w:r>
        <w:t xml:space="preserve"> </w:t>
      </w:r>
      <w:r>
        <w:rPr>
          <w:b/>
          <w:bCs/>
        </w:rPr>
        <w:t xml:space="preserve">QA Gate 1</w:t>
      </w:r>
      <w:r>
        <w:t xml:space="preserve"> </w:t>
      </w:r>
      <w:r>
        <w:t xml:space="preserve">(Contrato C1). Si el lote pasa, los</w:t>
      </w:r>
      <w:r>
        <w:t xml:space="preserve"> </w:t>
      </w:r>
      <w:r>
        <w:t xml:space="preserve">“Transformadores modulares”</w:t>
      </w:r>
      <w:r>
        <w:t xml:space="preserve"> </w:t>
      </w:r>
      <w:r>
        <w:t xml:space="preserve">(imputación, escalado y codificación) se aplican</w:t>
      </w:r>
      <w:r>
        <w:t xml:space="preserve"> </w:t>
      </w:r>
      <w:r>
        <w:rPr>
          <w:b/>
          <w:bCs/>
        </w:rPr>
        <w:t xml:space="preserve">paso a paso</w:t>
      </w:r>
      <w:r>
        <w:t xml:space="preserve">; después de cada paso, el</w:t>
      </w:r>
      <w:r>
        <w:t xml:space="preserve"> </w:t>
      </w:r>
      <w:r>
        <w:t xml:space="preserve">“Evaluador de filtración de atributos protegidos”</w:t>
      </w:r>
      <w:r>
        <w:t xml:space="preserve"> </w:t>
      </w:r>
      <w:r>
        <w:t xml:space="preserve">mide qué tan bien pueden predecirse los atributos protegidos a partir de las variables, lo compara con el paso anterior y ejecuta la</w:t>
      </w:r>
      <w:r>
        <w:t xml:space="preserve"> </w:t>
      </w:r>
      <w:r>
        <w:rPr>
          <w:b/>
          <w:bCs/>
        </w:rPr>
        <w:t xml:space="preserve">QA Gate 2</w:t>
      </w:r>
      <w:r>
        <w:t xml:space="preserve"> </w:t>
      </w:r>
      <w:r>
        <w:t xml:space="preserve">(Contrato C2). Si ambas compuertas pasan, el conjunto de variables se versiona con DVC.</w:t>
      </w:r>
    </w:p>
    <w:p>
      <w:pPr>
        <w:pStyle w:val="FirstParagraph"/>
        <w:jc w:val="center"/>
      </w:pPr>
      <w:r>
        <w:drawing>
          <wp:inline>
            <wp:extent cx="1810969" cy="7199999"/>
            <wp:effectExtent b="0" l="0" r="0" t="0"/>
            <wp:docPr descr="" title="" id="75" name="Picture"/>
            <a:graphic>
              <a:graphicData uri="http://schemas.openxmlformats.org/drawingml/2006/picture">
                <pic:pic>
                  <pic:nvPicPr>
                    <pic:cNvPr descr="C:\Users\a2020\AppData\Local\Temp\claude\C--Users-a2020-Documents-Tesis-Base-de-conocimiento\2da876e2-3967-4d50-bed3-94aaa36887e5\scratchpad/mmd/fig06.png" id="76" name="Picture"/>
                    <pic:cNvPicPr>
                      <a:picLocks noChangeArrowheads="1" noChangeAspect="1"/>
                    </pic:cNvPicPr>
                  </pic:nvPicPr>
                  <pic:blipFill>
                    <a:blip r:embed="rId74"/>
                    <a:stretch>
                      <a:fillRect/>
                    </a:stretch>
                  </pic:blipFill>
                  <pic:spPr bwMode="auto">
                    <a:xfrm>
                      <a:off x="0" y="0"/>
                      <a:ext cx="1810969" cy="7199999"/>
                    </a:xfrm>
                    <a:prstGeom prst="rect">
                      <a:avLst/>
                    </a:prstGeom>
                    <a:noFill/>
                    <a:ln w="9525">
                      <a:noFill/>
                      <a:headEnd/>
                      <a:tailEnd/>
                    </a:ln>
                  </pic:spPr>
                </pic:pic>
              </a:graphicData>
            </a:graphic>
          </wp:inline>
        </w:drawing>
      </w:r>
    </w:p>
    <w:p>
      <w:pPr>
        <w:pStyle w:val="BodyText"/>
        <w:keepNext w:val="0"/>
        <w:jc w:val="center"/>
      </w:pPr>
      <w:r>
        <w:rPr>
          <w:b/>
          <w:bCs/>
        </w:rPr>
        <w:t xml:space="preserve">Figura 6: Diagrama de componentes de la Zona 1</w:t>
      </w:r>
    </w:p>
    <w:p>
      <w:pPr>
        <w:pStyle w:val="Compact"/>
        <w:numPr>
          <w:ilvl w:val="0"/>
          <w:numId w:val="1026"/>
        </w:numPr>
      </w:pPr>
      <w:r>
        <w:rPr>
          <w:b/>
          <w:bCs/>
        </w:rPr>
        <w:t xml:space="preserve">Zona 2 (CI, entrenamiento y QA del modelo):</w:t>
      </w:r>
      <w:r>
        <w:t xml:space="preserve"> </w:t>
      </w:r>
      <w:r>
        <w:t xml:space="preserve">al activarse el</w:t>
      </w:r>
      <w:r>
        <w:t xml:space="preserve"> </w:t>
      </w:r>
      <w:r>
        <w:rPr>
          <w:i/>
          <w:iCs/>
        </w:rPr>
        <w:t xml:space="preserve">Trigger CI</w:t>
      </w:r>
      <w:r>
        <w:t xml:space="preserve">, el</w:t>
      </w:r>
      <w:r>
        <w:t xml:space="preserve"> </w:t>
      </w:r>
      <w:r>
        <w:t xml:space="preserve">“Cargador de variables”</w:t>
      </w:r>
      <w:r>
        <w:t xml:space="preserve"> </w:t>
      </w:r>
      <w:r>
        <w:t xml:space="preserve">obtiene la versión fijada en DVC y el</w:t>
      </w:r>
      <w:r>
        <w:t xml:space="preserve"> </w:t>
      </w:r>
      <w:r>
        <w:t xml:space="preserve">“Entrenador de modelo”</w:t>
      </w:r>
      <w:r>
        <w:t xml:space="preserve"> </w:t>
      </w:r>
      <w:r>
        <w:t xml:space="preserve">ajusta el clasificador supervisado base (regresión logística con pesos de clase balanceados). El</w:t>
      </w:r>
      <w:r>
        <w:t xml:space="preserve"> </w:t>
      </w:r>
      <w:r>
        <w:t xml:space="preserve">“Evaluador de disparidad”</w:t>
      </w:r>
      <w:r>
        <w:t xml:space="preserve"> </w:t>
      </w:r>
      <w:r>
        <w:t xml:space="preserve">calcula SPD, EOD y DI para cada atributo protegido, con intervalos de confianza obtenidos por</w:t>
      </w:r>
      <w:r>
        <w:t xml:space="preserve"> </w:t>
      </w:r>
      <w:r>
        <w:rPr>
          <w:i/>
          <w:iCs/>
        </w:rPr>
        <w:t xml:space="preserve">bootstrap</w:t>
      </w:r>
      <w:r>
        <w:t xml:space="preserve">, y ejecuta la</w:t>
      </w:r>
      <w:r>
        <w:t xml:space="preserve"> </w:t>
      </w:r>
      <w:r>
        <w:rPr>
          <w:b/>
          <w:bCs/>
        </w:rPr>
        <w:t xml:space="preserve">QA Gate 3</w:t>
      </w:r>
      <w:r>
        <w:t xml:space="preserve"> </w:t>
      </w:r>
      <w:r>
        <w:t xml:space="preserve">(Contrato C3). Si el modelo base no cumple el contrato, el</w:t>
      </w:r>
      <w:r>
        <w:t xml:space="preserve"> </w:t>
      </w:r>
      <w:r>
        <w:t xml:space="preserve">“Módulo de remediación”</w:t>
      </w:r>
      <w:r>
        <w:t xml:space="preserve"> </w:t>
      </w:r>
      <w:r>
        <w:t xml:space="preserve">aplica la técnica de mitigación declarada en el contrato (post-procesamiento con</w:t>
      </w:r>
      <w:r>
        <w:t xml:space="preserve"> </w:t>
      </w:r>
      <w:r>
        <w:rPr>
          <w:rStyle w:val="VerbatimChar"/>
        </w:rPr>
        <w:t xml:space="preserve">ThresholdOptimizer</w:t>
      </w:r>
      <w:r>
        <w:t xml:space="preserve"> </w:t>
      </w:r>
      <w:r>
        <w:t xml:space="preserve">de Fairlearn bajo la restricción de</w:t>
      </w:r>
      <w:r>
        <w:t xml:space="preserve"> </w:t>
      </w:r>
      <w:r>
        <w:rPr>
          <w:i/>
          <w:iCs/>
        </w:rPr>
        <w:t xml:space="preserve">equalized odds</w:t>
      </w:r>
      <w:r>
        <w:t xml:space="preserve">) y la compuerta se evalúa nuevamente sobre el modelo mitigado (Hardt et al., 2016; Weerts et al., 2023). Solo un modelo que cumple el contrato se registra como versión aprobada en MLflow; si tampoco el modelo mitigado lo cumple, el despliegue se bloquea. En ambos casos se registran los dos modelos con sus métricas de exactitud y de equidad.</w:t>
      </w:r>
    </w:p>
    <w:p>
      <w:pPr>
        <w:pStyle w:val="FirstParagraph"/>
        <w:jc w:val="center"/>
      </w:pPr>
      <w:r>
        <w:drawing>
          <wp:inline>
            <wp:extent cx="1641077" cy="7199999"/>
            <wp:effectExtent b="0" l="0" r="0" t="0"/>
            <wp:docPr descr="" title="" id="78" name="Picture"/>
            <a:graphic>
              <a:graphicData uri="http://schemas.openxmlformats.org/drawingml/2006/picture">
                <pic:pic>
                  <pic:nvPicPr>
                    <pic:cNvPr descr="C:\Users\a2020\AppData\Local\Temp\claude\C--Users-a2020-Documents-Tesis-Base-de-conocimiento\2da876e2-3967-4d50-bed3-94aaa36887e5\scratchpad/mmd/fig07.png" id="79" name="Picture"/>
                    <pic:cNvPicPr>
                      <a:picLocks noChangeArrowheads="1" noChangeAspect="1"/>
                    </pic:cNvPicPr>
                  </pic:nvPicPr>
                  <pic:blipFill>
                    <a:blip r:embed="rId77"/>
                    <a:stretch>
                      <a:fillRect/>
                    </a:stretch>
                  </pic:blipFill>
                  <pic:spPr bwMode="auto">
                    <a:xfrm>
                      <a:off x="0" y="0"/>
                      <a:ext cx="1641077" cy="7199999"/>
                    </a:xfrm>
                    <a:prstGeom prst="rect">
                      <a:avLst/>
                    </a:prstGeom>
                    <a:noFill/>
                    <a:ln w="9525">
                      <a:noFill/>
                      <a:headEnd/>
                      <a:tailEnd/>
                    </a:ln>
                  </pic:spPr>
                </pic:pic>
              </a:graphicData>
            </a:graphic>
          </wp:inline>
        </w:drawing>
      </w:r>
    </w:p>
    <w:p>
      <w:pPr>
        <w:pStyle w:val="BodyText"/>
        <w:keepNext w:val="0"/>
        <w:jc w:val="center"/>
      </w:pPr>
      <w:r>
        <w:rPr>
          <w:b/>
          <w:bCs/>
        </w:rPr>
        <w:t xml:space="preserve">Figura 7: Diagrama de componentes de la Zona 2</w:t>
      </w:r>
    </w:p>
    <w:p>
      <w:pPr>
        <w:pStyle w:val="Compact"/>
        <w:numPr>
          <w:ilvl w:val="0"/>
          <w:numId w:val="1027"/>
        </w:numPr>
      </w:pPr>
      <w:r>
        <w:rPr>
          <w:b/>
          <w:bCs/>
        </w:rPr>
        <w:t xml:space="preserve">Zona 3 (Scoring por lotes y monitoreo):</w:t>
      </w:r>
      <w:r>
        <w:t xml:space="preserve"> </w:t>
      </w:r>
      <w:r>
        <w:t xml:space="preserve">con la versión aprobada, el</w:t>
      </w:r>
      <w:r>
        <w:t xml:space="preserve"> </w:t>
      </w:r>
      <w:r>
        <w:rPr>
          <w:i/>
          <w:iCs/>
        </w:rPr>
        <w:t xml:space="preserve">Trigger CD</w:t>
      </w:r>
      <w:r>
        <w:t xml:space="preserve"> </w:t>
      </w:r>
      <w:r>
        <w:t xml:space="preserve">activa el</w:t>
      </w:r>
      <w:r>
        <w:t xml:space="preserve"> </w:t>
      </w:r>
      <w:r>
        <w:t xml:space="preserve">“Scorer por lotes”</w:t>
      </w:r>
      <w:r>
        <w:t xml:space="preserve">, que puntúa lotes de producción. Un componente de</w:t>
      </w:r>
      <w:r>
        <w:t xml:space="preserve"> </w:t>
      </w:r>
      <w:r>
        <w:t xml:space="preserve">“Captura y seudonimización”</w:t>
      </w:r>
      <w:r>
        <w:t xml:space="preserve"> </w:t>
      </w:r>
      <w:r>
        <w:t xml:space="preserve">almacena el atributo protegido</w:t>
      </w:r>
      <w:r>
        <w:t xml:space="preserve"> </w:t>
      </w:r>
      <w:r>
        <w:rPr>
          <w:b/>
          <w:bCs/>
        </w:rPr>
        <w:t xml:space="preserve">separado</w:t>
      </w:r>
      <w:r>
        <w:t xml:space="preserve"> </w:t>
      </w:r>
      <w:r>
        <w:t xml:space="preserve">de las variables del modelo y asociado a un identificador seudonimizado, para usarlo exclusivamente en el cálculo de métricas de equidad, en línea con la salvaguarda del artículo 10, apartado 5, del Reglamento europeo (Reglamento IA UE, 2024). El</w:t>
      </w:r>
      <w:r>
        <w:t xml:space="preserve"> </w:t>
      </w:r>
      <w:r>
        <w:t xml:space="preserve">“Monitor de deriva de datos”</w:t>
      </w:r>
      <w:r>
        <w:t xml:space="preserve"> </w:t>
      </w:r>
      <w:r>
        <w:t xml:space="preserve">(Evidently) compara la distribución de cada lote con la de entrenamiento, y el</w:t>
      </w:r>
      <w:r>
        <w:t xml:space="preserve"> </w:t>
      </w:r>
      <w:r>
        <w:t xml:space="preserve">“Monitor de deriva del sesgo”</w:t>
      </w:r>
      <w:r>
        <w:t xml:space="preserve"> </w:t>
      </w:r>
      <w:r>
        <w:t xml:space="preserve">recalcula las métricas del C3 por lote a medida que llegan las etiquetas observadas, ejecutando la</w:t>
      </w:r>
      <w:r>
        <w:t xml:space="preserve"> </w:t>
      </w:r>
      <w:r>
        <w:rPr>
          <w:b/>
          <w:bCs/>
        </w:rPr>
        <w:t xml:space="preserve">QA Gate 4</w:t>
      </w:r>
      <w:r>
        <w:t xml:space="preserve"> </w:t>
      </w:r>
      <w:r>
        <w:t xml:space="preserve">(Contrato C4). El</w:t>
      </w:r>
      <w:r>
        <w:t xml:space="preserve"> </w:t>
      </w:r>
      <w:r>
        <w:t xml:space="preserve">“Generador de razones de rechazo”</w:t>
      </w:r>
      <w:r>
        <w:t xml:space="preserve"> </w:t>
      </w:r>
      <w:r>
        <w:t xml:space="preserve">obtiene, para cada solicitante rechazado, las variables con mayor contribución negativa según SHAP. Si el C4 se incumple, el</w:t>
      </w:r>
      <w:r>
        <w:t xml:space="preserve"> </w:t>
      </w:r>
      <w:r>
        <w:t xml:space="preserve">“Generador de alertas”</w:t>
      </w:r>
      <w:r>
        <w:t xml:space="preserve"> </w:t>
      </w:r>
      <w:r>
        <w:t xml:space="preserve">registra la anomalía y dispara el reentrenamiento (</w:t>
      </w:r>
      <w:r>
        <w:rPr>
          <w:i/>
          <w:iCs/>
        </w:rPr>
        <w:t xml:space="preserve">Trigger CT</w:t>
      </w:r>
      <w:r>
        <w:t xml:space="preserve">) hacia la Zona 1.</w:t>
      </w:r>
    </w:p>
    <w:p>
      <w:pPr>
        <w:pStyle w:val="FirstParagraph"/>
        <w:jc w:val="center"/>
      </w:pPr>
      <w:r>
        <w:drawing>
          <wp:inline>
            <wp:extent cx="3139305" cy="7199999"/>
            <wp:effectExtent b="0" l="0" r="0" t="0"/>
            <wp:docPr descr="" title="" id="81" name="Picture"/>
            <a:graphic>
              <a:graphicData uri="http://schemas.openxmlformats.org/drawingml/2006/picture">
                <pic:pic>
                  <pic:nvPicPr>
                    <pic:cNvPr descr="C:\Users\a2020\AppData\Local\Temp\claude\C--Users-a2020-Documents-Tesis-Base-de-conocimiento\2da876e2-3967-4d50-bed3-94aaa36887e5\scratchpad/mmd/fig08.png" id="82" name="Picture"/>
                    <pic:cNvPicPr>
                      <a:picLocks noChangeArrowheads="1" noChangeAspect="1"/>
                    </pic:cNvPicPr>
                  </pic:nvPicPr>
                  <pic:blipFill>
                    <a:blip r:embed="rId80"/>
                    <a:stretch>
                      <a:fillRect/>
                    </a:stretch>
                  </pic:blipFill>
                  <pic:spPr bwMode="auto">
                    <a:xfrm>
                      <a:off x="0" y="0"/>
                      <a:ext cx="3139305" cy="7199999"/>
                    </a:xfrm>
                    <a:prstGeom prst="rect">
                      <a:avLst/>
                    </a:prstGeom>
                    <a:noFill/>
                    <a:ln w="9525">
                      <a:noFill/>
                      <a:headEnd/>
                      <a:tailEnd/>
                    </a:ln>
                  </pic:spPr>
                </pic:pic>
              </a:graphicData>
            </a:graphic>
          </wp:inline>
        </w:drawing>
      </w:r>
    </w:p>
    <w:p>
      <w:pPr>
        <w:pStyle w:val="BodyText"/>
        <w:keepNext w:val="0"/>
        <w:jc w:val="center"/>
      </w:pPr>
      <w:r>
        <w:rPr>
          <w:b/>
          <w:bCs/>
        </w:rPr>
        <w:t xml:space="preserve">Figura 8: Diagrama de componentes de la Zona 3</w:t>
      </w:r>
    </w:p>
    <w:p>
      <w:pPr>
        <w:pStyle w:val="Compact"/>
        <w:numPr>
          <w:ilvl w:val="0"/>
          <w:numId w:val="1028"/>
        </w:numPr>
      </w:pPr>
      <w:r>
        <w:rPr>
          <w:b/>
          <w:bCs/>
        </w:rPr>
        <w:t xml:space="preserve">Zona 4 (Trazabilidad semántica):</w:t>
      </w:r>
      <w:r>
        <w:t xml:space="preserve"> </w:t>
      </w:r>
      <w:r>
        <w:t xml:space="preserve">el</w:t>
      </w:r>
      <w:r>
        <w:t xml:space="preserve"> </w:t>
      </w:r>
      <w:r>
        <w:t xml:space="preserve">“Exportador de linaje”</w:t>
      </w:r>
      <w:r>
        <w:t xml:space="preserve"> </w:t>
      </w:r>
      <w:r>
        <w:t xml:space="preserve">lee de MLflow las ejecuciones del pipeline y, con RDFLib, las serializa como tripletas RDF conforme a la</w:t>
      </w:r>
      <w:r>
        <w:t xml:space="preserve"> </w:t>
      </w:r>
      <w:r>
        <w:t xml:space="preserve">“Ontología de Fairness”</w:t>
      </w:r>
      <w:r>
        <w:t xml:space="preserve">, que reutiliza PROV-O para el linaje y DQV para las mediciones de calidad (Lebo et al., 2013; Albertoni &amp; Isaac, 2016). El</w:t>
      </w:r>
      <w:r>
        <w:t xml:space="preserve"> </w:t>
      </w:r>
      <w:r>
        <w:t xml:space="preserve">“Validador SHACL”</w:t>
      </w:r>
      <w:r>
        <w:t xml:space="preserve"> </w:t>
      </w:r>
      <w:r>
        <w:t xml:space="preserve">comprueba que cada ejecución registrada cumpla las restricciones estructurales de la ontología (Knublauch &amp; Kontokostas, 2017). Las tripletas validadas se almacenan en un repositorio RDF local (RDFLib u Oxigraph; GraphDB es opcional para la exploración visual), sobre el cual el</w:t>
      </w:r>
      <w:r>
        <w:t xml:space="preserve"> </w:t>
      </w:r>
      <w:r>
        <w:t xml:space="preserve">“Motor de consultas”</w:t>
      </w:r>
      <w:r>
        <w:t xml:space="preserve"> </w:t>
      </w:r>
      <w:r>
        <w:t xml:space="preserve">ejecuta las preguntas de competencia en SPARQL y el</w:t>
      </w:r>
      <w:r>
        <w:t xml:space="preserve"> </w:t>
      </w:r>
      <w:r>
        <w:t xml:space="preserve">“Generador de reportes”</w:t>
      </w:r>
      <w:r>
        <w:t xml:space="preserve"> </w:t>
      </w:r>
      <w:r>
        <w:t xml:space="preserve">compila el reporte de cumplimiento en PDF para el Auditor.</w:t>
      </w:r>
    </w:p>
    <w:p>
      <w:pPr>
        <w:pStyle w:val="FirstParagraph"/>
        <w:jc w:val="center"/>
      </w:pPr>
      <w:r>
        <w:drawing>
          <wp:inline>
            <wp:extent cx="4502809" cy="7199999"/>
            <wp:effectExtent b="0" l="0" r="0" t="0"/>
            <wp:docPr descr="" title="" id="84" name="Picture"/>
            <a:graphic>
              <a:graphicData uri="http://schemas.openxmlformats.org/drawingml/2006/picture">
                <pic:pic>
                  <pic:nvPicPr>
                    <pic:cNvPr descr="C:\Users\a2020\AppData\Local\Temp\claude\C--Users-a2020-Documents-Tesis-Base-de-conocimiento\2da876e2-3967-4d50-bed3-94aaa36887e5\scratchpad/mmd/fig09.png" id="85" name="Picture"/>
                    <pic:cNvPicPr>
                      <a:picLocks noChangeArrowheads="1" noChangeAspect="1"/>
                    </pic:cNvPicPr>
                  </pic:nvPicPr>
                  <pic:blipFill>
                    <a:blip r:embed="rId83"/>
                    <a:stretch>
                      <a:fillRect/>
                    </a:stretch>
                  </pic:blipFill>
                  <pic:spPr bwMode="auto">
                    <a:xfrm>
                      <a:off x="0" y="0"/>
                      <a:ext cx="4502809" cy="7199999"/>
                    </a:xfrm>
                    <a:prstGeom prst="rect">
                      <a:avLst/>
                    </a:prstGeom>
                    <a:noFill/>
                    <a:ln w="9525">
                      <a:noFill/>
                      <a:headEnd/>
                      <a:tailEnd/>
                    </a:ln>
                  </pic:spPr>
                </pic:pic>
              </a:graphicData>
            </a:graphic>
          </wp:inline>
        </w:drawing>
      </w:r>
    </w:p>
    <w:p>
      <w:pPr>
        <w:pStyle w:val="BodyText"/>
        <w:keepNext w:val="0"/>
        <w:jc w:val="center"/>
      </w:pPr>
      <w:r>
        <w:rPr>
          <w:b/>
          <w:bCs/>
        </w:rPr>
        <w:t xml:space="preserve">Figura 9: Diagrama de componentes de la Zona 4</w:t>
      </w:r>
    </w:p>
    <w:bookmarkEnd w:id="86"/>
    <w:bookmarkStart w:id="87" w:name="metodología-de-logro-y-reproducibilidad"/>
    <w:p>
      <w:pPr>
        <w:pStyle w:val="Heading3"/>
      </w:pPr>
      <w:r>
        <w:t xml:space="preserve">4.2.2 Metodología de logro y reproducibilidad</w:t>
      </w:r>
    </w:p>
    <w:p>
      <w:pPr>
        <w:pStyle w:val="FirstParagraph"/>
      </w:pPr>
      <w:r>
        <w:t xml:space="preserve">Para alcanzar este resultado se siguió un proceso iterativo de cuatro pasos:</w:t>
      </w:r>
    </w:p>
    <w:p>
      <w:pPr>
        <w:pStyle w:val="Compact"/>
        <w:numPr>
          <w:ilvl w:val="0"/>
          <w:numId w:val="1029"/>
        </w:numPr>
      </w:pPr>
      <w:r>
        <w:rPr>
          <w:b/>
          <w:bCs/>
        </w:rPr>
        <w:t xml:space="preserve">Identificación de fronteras de datos y de ejecución:</w:t>
      </w:r>
      <w:r>
        <w:t xml:space="preserve"> </w:t>
      </w:r>
      <w:r>
        <w:t xml:space="preserve">se estableció como restricción de diseño que el pipeline sea</w:t>
      </w:r>
      <w:r>
        <w:t xml:space="preserve"> </w:t>
      </w:r>
      <w:r>
        <w:rPr>
          <w:b/>
          <w:bCs/>
        </w:rPr>
        <w:t xml:space="preserve">reproducible de forma idéntica en local y en integración continua</w:t>
      </w:r>
      <w:r>
        <w:t xml:space="preserve">: las mismas pruebas se ejecutan en la estación de trabajo del desarrollador y en los ejecutores de GitHub Actions, con versiones de dependencias fijadas. La confidencialidad no se garantiza aislando la red, sino tratando los datos: los repositorios de código y de datos son privados, el dataset no se redistribuye y el atributo protegido se seudonimiza en la operación (Zona 3).</w:t>
      </w:r>
    </w:p>
    <w:p>
      <w:pPr>
        <w:pStyle w:val="Compact"/>
        <w:numPr>
          <w:ilvl w:val="0"/>
          <w:numId w:val="1029"/>
        </w:numPr>
      </w:pPr>
      <w:r>
        <w:rPr>
          <w:b/>
          <w:bCs/>
        </w:rPr>
        <w:t xml:space="preserve">Delimitación de zonas operativas:</w:t>
      </w:r>
      <w:r>
        <w:t xml:space="preserve"> </w:t>
      </w:r>
      <w:r>
        <w:t xml:space="preserve">se aplicó el principio de separación de responsabilidades (</w:t>
      </w:r>
      <w:r>
        <w:rPr>
          <w:i/>
          <w:iCs/>
        </w:rPr>
        <w:t xml:space="preserve">separation of concerns</w:t>
      </w:r>
      <w:r>
        <w:t xml:space="preserve">) para segmentar el ciclo de vida del scoring crediticio en cuatro zonas, y se extrajeron como componentes transversales el motor de contratos y el canal de linaje, de modo que ninguna zona dependa de la implementación interna de otra.</w:t>
      </w:r>
    </w:p>
    <w:p>
      <w:pPr>
        <w:pStyle w:val="Compact"/>
        <w:numPr>
          <w:ilvl w:val="0"/>
          <w:numId w:val="1029"/>
        </w:numPr>
      </w:pPr>
      <w:r>
        <w:rPr>
          <w:b/>
          <w:bCs/>
        </w:rPr>
        <w:t xml:space="preserve">Modelado visual bajo el estándar C4:</w:t>
      </w:r>
      <w:r>
        <w:t xml:space="preserve"> </w:t>
      </w:r>
      <w:r>
        <w:t xml:space="preserve">se construyeron de forma secuencial las abstracciones de Contexto, Contenedores y Componentes (Figuras 4 a 9), etiquetando los flujos de datos, los eventos de control (</w:t>
      </w:r>
      <w:r>
        <w:rPr>
          <w:i/>
          <w:iCs/>
        </w:rPr>
        <w:t xml:space="preserve">triggers</w:t>
      </w:r>
      <w:r>
        <w:t xml:space="preserve">) y los puntos de bloqueo.</w:t>
      </w:r>
    </w:p>
    <w:p>
      <w:pPr>
        <w:pStyle w:val="Compact"/>
        <w:numPr>
          <w:ilvl w:val="0"/>
          <w:numId w:val="1029"/>
        </w:numPr>
      </w:pPr>
      <w:r>
        <w:rPr>
          <w:b/>
          <w:bCs/>
        </w:rPr>
        <w:t xml:space="preserve">Validación del flujo de automatización (CI/CD/CT):</w:t>
      </w:r>
      <w:r>
        <w:t xml:space="preserve"> </w:t>
      </w:r>
      <w:r>
        <w:t xml:space="preserve">se mapearon los disparadores: cualquier cambio de código, de contratos o de datos dispara un</w:t>
      </w:r>
      <w:r>
        <w:t xml:space="preserve"> </w:t>
      </w:r>
      <w:r>
        <w:rPr>
          <w:i/>
          <w:iCs/>
        </w:rPr>
        <w:t xml:space="preserve">Trigger CI</w:t>
      </w:r>
      <w:r>
        <w:t xml:space="preserve"> </w:t>
      </w:r>
      <w:r>
        <w:t xml:space="preserve">en la Zona 2; la aprobación de un modelo dispara el</w:t>
      </w:r>
      <w:r>
        <w:t xml:space="preserve"> </w:t>
      </w:r>
      <w:r>
        <w:rPr>
          <w:i/>
          <w:iCs/>
        </w:rPr>
        <w:t xml:space="preserve">Trigger CD</w:t>
      </w:r>
      <w:r>
        <w:t xml:space="preserve"> </w:t>
      </w:r>
      <w:r>
        <w:t xml:space="preserve">hacia la Zona 3; y una violación del Contrato C4 dispara un reentrenamiento (</w:t>
      </w:r>
      <w:r>
        <w:rPr>
          <w:i/>
          <w:iCs/>
        </w:rPr>
        <w:t xml:space="preserve">Trigger CT</w:t>
      </w:r>
      <w:r>
        <w:t xml:space="preserve">) de retorno a la Zona 1, cerrando el ciclo de vida automatizado.</w:t>
      </w:r>
    </w:p>
    <w:bookmarkEnd w:id="87"/>
    <w:bookmarkStart w:id="88" w:name="verificación-de-existencia"/>
    <w:p>
      <w:pPr>
        <w:pStyle w:val="Heading3"/>
      </w:pPr>
      <w:r>
        <w:t xml:space="preserve">4.2.3. Verificación de existencia</w:t>
      </w:r>
    </w:p>
    <w:p>
      <w:pPr>
        <w:pStyle w:val="FirstParagraph"/>
      </w:pPr>
      <w:r>
        <w:t xml:space="preserve">La existencia de este resultado se verifica en los diagramas del sistema incluidos en la presente tesis:</w:t>
      </w:r>
    </w:p>
    <w:p>
      <w:pPr>
        <w:pStyle w:val="Compact"/>
        <w:keepNext w:val="0"/>
        <w:numPr>
          <w:ilvl w:val="0"/>
          <w:numId w:val="1030"/>
        </w:numPr>
        <w:jc w:val="center"/>
      </w:pPr>
      <w:r>
        <w:rPr>
          <w:b/>
          <w:bCs/>
        </w:rPr>
        <w:t xml:space="preserve">Figura 4</w:t>
      </w:r>
      <w:r>
        <w:t xml:space="preserve"> </w:t>
      </w:r>
      <w:r>
        <w:t xml:space="preserve">(Diagrama de Contexto - Nivel 1): fronteras del sistema, actores y sistemas externos.</w:t>
      </w:r>
    </w:p>
    <w:p>
      <w:pPr>
        <w:pStyle w:val="Compact"/>
        <w:keepNext w:val="0"/>
        <w:numPr>
          <w:ilvl w:val="0"/>
          <w:numId w:val="1030"/>
        </w:numPr>
        <w:jc w:val="center"/>
      </w:pPr>
      <w:r>
        <w:rPr>
          <w:b/>
          <w:bCs/>
        </w:rPr>
        <w:t xml:space="preserve">Figura 5</w:t>
      </w:r>
      <w:r>
        <w:t xml:space="preserve"> </w:t>
      </w:r>
      <w:r>
        <w:t xml:space="preserve">(Diagrama de Contenedores - Nivel 2): cuatro zonas operativas, motor de contratos y canal de linaje.</w:t>
      </w:r>
    </w:p>
    <w:p>
      <w:pPr>
        <w:pStyle w:val="Compact"/>
        <w:numPr>
          <w:ilvl w:val="0"/>
          <w:numId w:val="1030"/>
        </w:numPr>
      </w:pPr>
      <w:r>
        <w:rPr>
          <w:b/>
          <w:bCs/>
        </w:rPr>
        <w:t xml:space="preserve">Figuras 6, 7, 8 y 9</w:t>
      </w:r>
      <w:r>
        <w:t xml:space="preserve"> </w:t>
      </w:r>
      <w:r>
        <w:t xml:space="preserve">(Diagramas de Componentes - Nivel 3): flujos internos de validación de datos y transformadores, entrenamiento y remediación, operación y monitoreo, y trazabilidad semántica.</w:t>
      </w:r>
    </w:p>
    <w:bookmarkEnd w:id="88"/>
    <w:bookmarkStart w:id="89" w:name="mediciones-y-validación-del-indicador"/>
    <w:p>
      <w:pPr>
        <w:pStyle w:val="Heading3"/>
      </w:pPr>
      <w:r>
        <w:t xml:space="preserve">4.2.4 Mediciones y validación del indicador</w:t>
      </w:r>
    </w:p>
    <w:p>
      <w:pPr>
        <w:pStyle w:val="FirstParagraph"/>
      </w:pPr>
      <w:r>
        <w:t xml:space="preserve">El cumplimiento de este entregable se valida con el indicador del R.E.2.1 establecido en el Capítulo 1 (Tabla 2):</w:t>
      </w:r>
      <w:r>
        <w:t xml:space="preserve"> </w:t>
      </w:r>
      <w:r>
        <w:rPr>
          <w:i/>
          <w:iCs/>
        </w:rPr>
        <w:t xml:space="preserve">“Presentación de diagramas que identifiquen explícitamente las cuatro (4) zonas del pipeline, la capa de persistencia semántica, el flujo de integración continua y la ubicación estratégica de las compuertas de calidad (QA Gates)”</w:t>
      </w:r>
      <w:r>
        <w:t xml:space="preserve">.</w:t>
      </w:r>
    </w:p>
    <w:p>
      <w:pPr>
        <w:pStyle w:val="BodyText"/>
      </w:pPr>
      <w:r>
        <w:t xml:space="preserve">La revisión de cobertura del diseño verifica los siguientes elementos:</w:t>
      </w:r>
    </w:p>
    <w:p>
      <w:pPr>
        <w:pStyle w:val="Compact"/>
        <w:numPr>
          <w:ilvl w:val="0"/>
          <w:numId w:val="1031"/>
        </w:numPr>
      </w:pPr>
      <w:r>
        <w:rPr>
          <w:b/>
          <w:bCs/>
        </w:rPr>
        <w:t xml:space="preserve">Las 4 zonas:</w:t>
      </w:r>
      <w:r>
        <w:t xml:space="preserve"> </w:t>
      </w:r>
      <w:r>
        <w:t xml:space="preserve">Zona 1 (ingesta y transformación), Zona 2 (CI, entrenamiento y QA del modelo), Zona 3 (scoring y monitoreo) y Zona 4 (trazabilidad semántica), con fronteras explícitas en la Figura 5.</w:t>
      </w:r>
    </w:p>
    <w:p>
      <w:pPr>
        <w:pStyle w:val="Compact"/>
        <w:numPr>
          <w:ilvl w:val="0"/>
          <w:numId w:val="1031"/>
        </w:numPr>
      </w:pPr>
      <w:r>
        <w:rPr>
          <w:b/>
          <w:bCs/>
        </w:rPr>
        <w:t xml:space="preserve">Capa de persistencia semántica:</w:t>
      </w:r>
      <w:r>
        <w:t xml:space="preserve"> </w:t>
      </w:r>
      <w:r>
        <w:t xml:space="preserve">Zona 4, alimentada exclusivamente desde el canal de linaje (MLflow).</w:t>
      </w:r>
    </w:p>
    <w:p>
      <w:pPr>
        <w:pStyle w:val="Compact"/>
        <w:numPr>
          <w:ilvl w:val="0"/>
          <w:numId w:val="1031"/>
        </w:numPr>
      </w:pPr>
      <w:r>
        <w:rPr>
          <w:b/>
          <w:bCs/>
        </w:rPr>
        <w:t xml:space="preserve">Flujo de integración continua:</w:t>
      </w:r>
      <w:r>
        <w:t xml:space="preserve"> </w:t>
      </w:r>
      <w:r>
        <w:t xml:space="preserve">eventos</w:t>
      </w:r>
      <w:r>
        <w:t xml:space="preserve"> </w:t>
      </w:r>
      <w:r>
        <w:rPr>
          <w:i/>
          <w:iCs/>
        </w:rPr>
        <w:t xml:space="preserve">Trigger CI</w:t>
      </w:r>
      <w:r>
        <w:t xml:space="preserve">,</w:t>
      </w:r>
      <w:r>
        <w:t xml:space="preserve"> </w:t>
      </w:r>
      <w:r>
        <w:rPr>
          <w:i/>
          <w:iCs/>
        </w:rPr>
        <w:t xml:space="preserve">Trigger CD</w:t>
      </w:r>
      <w:r>
        <w:t xml:space="preserve"> </w:t>
      </w:r>
      <w:r>
        <w:t xml:space="preserve">y</w:t>
      </w:r>
      <w:r>
        <w:t xml:space="preserve"> </w:t>
      </w:r>
      <w:r>
        <w:rPr>
          <w:i/>
          <w:iCs/>
        </w:rPr>
        <w:t xml:space="preserve">Trigger CT</w:t>
      </w:r>
      <w:r>
        <w:t xml:space="preserve"> </w:t>
      </w:r>
      <w:r>
        <w:t xml:space="preserve">representados en las Figuras 5, 7 y 8.</w:t>
      </w:r>
    </w:p>
    <w:p>
      <w:pPr>
        <w:pStyle w:val="Compact"/>
        <w:numPr>
          <w:ilvl w:val="0"/>
          <w:numId w:val="1031"/>
        </w:numPr>
      </w:pPr>
      <w:r>
        <w:rPr>
          <w:b/>
          <w:bCs/>
        </w:rPr>
        <w:t xml:space="preserve">Ubicación de las compuertas de calidad:</w:t>
      </w:r>
    </w:p>
    <w:p>
      <w:pPr>
        <w:pStyle w:val="Compact"/>
        <w:numPr>
          <w:ilvl w:val="1"/>
          <w:numId w:val="1032"/>
        </w:numPr>
      </w:pPr>
      <w:r>
        <w:rPr>
          <w:b/>
          <w:bCs/>
        </w:rPr>
        <w:t xml:space="preserve">QA Gate 1 (datos crudos):</w:t>
      </w:r>
      <w:r>
        <w:t xml:space="preserve"> </w:t>
      </w:r>
      <w:r>
        <w:t xml:space="preserve">Zona 1, tras el validador de esquema y antes de cualquier transformación.</w:t>
      </w:r>
    </w:p>
    <w:p>
      <w:pPr>
        <w:pStyle w:val="Compact"/>
        <w:numPr>
          <w:ilvl w:val="1"/>
          <w:numId w:val="1032"/>
        </w:numPr>
      </w:pPr>
      <w:r>
        <w:rPr>
          <w:b/>
          <w:bCs/>
        </w:rPr>
        <w:t xml:space="preserve">QA Gate 2 (transformadores):</w:t>
      </w:r>
      <w:r>
        <w:t xml:space="preserve"> </w:t>
      </w:r>
      <w:r>
        <w:t xml:space="preserve">Zona 1, evaluada después de</w:t>
      </w:r>
      <w:r>
        <w:t xml:space="preserve"> </w:t>
      </w:r>
      <w:r>
        <w:rPr>
          <w:b/>
          <w:bCs/>
        </w:rPr>
        <w:t xml:space="preserve">cada</w:t>
      </w:r>
      <w:r>
        <w:t xml:space="preserve"> </w:t>
      </w:r>
      <w:r>
        <w:t xml:space="preserve">paso de preprocesamiento.</w:t>
      </w:r>
    </w:p>
    <w:p>
      <w:pPr>
        <w:pStyle w:val="Compact"/>
        <w:numPr>
          <w:ilvl w:val="1"/>
          <w:numId w:val="1032"/>
        </w:numPr>
      </w:pPr>
      <w:r>
        <w:rPr>
          <w:b/>
          <w:bCs/>
        </w:rPr>
        <w:t xml:space="preserve">QA Gate 3 (modelo):</w:t>
      </w:r>
      <w:r>
        <w:t xml:space="preserve"> </w:t>
      </w:r>
      <w:r>
        <w:t xml:space="preserve">Zona 2, sobre el modelo base y, si corresponde, sobre el modelo remediado, antes de habilitar su registro y entrega.</w:t>
      </w:r>
    </w:p>
    <w:p>
      <w:pPr>
        <w:pStyle w:val="Compact"/>
        <w:numPr>
          <w:ilvl w:val="1"/>
          <w:numId w:val="1032"/>
        </w:numPr>
      </w:pPr>
      <w:r>
        <w:rPr>
          <w:b/>
          <w:bCs/>
        </w:rPr>
        <w:t xml:space="preserve">QA Gate 4 (producción):</w:t>
      </w:r>
      <w:r>
        <w:t xml:space="preserve"> </w:t>
      </w:r>
      <w:r>
        <w:t xml:space="preserve">Zona 3, sobre cada lote puntuado.</w:t>
      </w:r>
    </w:p>
    <w:bookmarkEnd w:id="89"/>
    <w:bookmarkEnd w:id="90"/>
    <w:bookmarkStart w:id="95" w:name="X48d8f1f61b9448e10c1718d6d3fa6bbf90c3f8f"/>
    <w:p>
      <w:pPr>
        <w:pStyle w:val="Heading2"/>
      </w:pPr>
      <w:r>
        <w:t xml:space="preserve">4.3 Especificación de diseño de los componentes modulares de validación de equidad</w:t>
      </w:r>
    </w:p>
    <w:bookmarkStart w:id="91" w:name="descripción-del-resultado-alcanzado-1"/>
    <w:p>
      <w:pPr>
        <w:pStyle w:val="Heading3"/>
      </w:pPr>
      <w:r>
        <w:t xml:space="preserve">4.3.1. Descripción del resultado alcanzado</w:t>
      </w:r>
    </w:p>
    <w:p>
      <w:pPr>
        <w:pStyle w:val="FirstParagraph"/>
      </w:pPr>
      <w:r>
        <w:t xml:space="preserve">El segundo resultado es la especificación de los componentes lógicos de validación. A diferencia de las evaluaciones convencionales, que operan de manera reactiva sobre el modelo final, esta especificación define un control modular basado en el paradigma de Diseño por Contrato (DbC), en el que cada etapa del pipeline tiene precondiciones y postcondiciones de equidad verificables (Nguyen, 2024).</w:t>
      </w:r>
    </w:p>
    <w:p>
      <w:pPr>
        <w:pStyle w:val="BodyText"/>
      </w:pPr>
      <w:r>
        <w:t xml:space="preserve">Cada compuerta es una función de aserción que recibe entradas específicas, evalúa las reglas de su contrato y retorna un resultado binario (Pasa / Falla). Si alguna regla con severidad</w:t>
      </w:r>
      <w:r>
        <w:t xml:space="preserve"> </w:t>
      </w:r>
      <w:r>
        <w:rPr>
          <w:rStyle w:val="VerbatimChar"/>
        </w:rPr>
        <w:t xml:space="preserve">block</w:t>
      </w:r>
      <w:r>
        <w:t xml:space="preserve"> </w:t>
      </w:r>
      <w:r>
        <w:t xml:space="preserve">falla, el proceso termina con código de salida distinto de cero (</w:t>
      </w:r>
      <w:r>
        <w:rPr>
          <w:i/>
          <w:iCs/>
        </w:rPr>
        <w:t xml:space="preserve">exit 1</w:t>
      </w:r>
      <w:r>
        <w:t xml:space="preserve">), lo que detiene el pipeline de integración continua e impide la propagación del sesgo (Nguyen, 2024). Las reglas con severidad</w:t>
      </w:r>
      <w:r>
        <w:t xml:space="preserve"> </w:t>
      </w:r>
      <w:r>
        <w:rPr>
          <w:rStyle w:val="VerbatimChar"/>
        </w:rPr>
        <w:t xml:space="preserve">warn</w:t>
      </w:r>
      <w:r>
        <w:t xml:space="preserve"> </w:t>
      </w:r>
      <w:r>
        <w:t xml:space="preserve">solo se registran.</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1529"/>
        <w:gridCol w:w="1721"/>
        <w:gridCol w:w="791"/>
        <w:gridCol w:w="2485"/>
        <w:gridCol w:w="2485"/>
      </w:tblGrid>
      <w:tr>
        <w:trPr>
          <w:tblHeader w:val="on"/>
          <w:tblHeader w:val="true"/>
        </w:trPr>
        <w:tc>
          <w:tcPr>
            <w:tcW w:type="dxa" w:w="1530"/>
          </w:tcPr>
          <w:p>
            <w:pPr>
              <w:pStyle w:val="Compact"/>
              <w:spacing w:after="40"/>
              <w:jc w:val="left"/>
            </w:pPr>
            <w:r>
              <w:rPr>
                <w:b/>
                <w:sz w:val="22"/>
              </w:rPr>
              <w:t xml:space="preserve">Contrato</w:t>
            </w:r>
          </w:p>
        </w:tc>
        <w:tc>
          <w:tcPr>
            <w:tcW w:type="dxa" w:w="1721"/>
          </w:tcPr>
          <w:p>
            <w:pPr>
              <w:pStyle w:val="Compact"/>
              <w:spacing w:after="40"/>
              <w:jc w:val="left"/>
            </w:pPr>
            <w:r>
              <w:rPr>
                <w:b/>
                <w:sz w:val="22"/>
              </w:rPr>
              <w:t xml:space="preserve">Compuerta</w:t>
            </w:r>
          </w:p>
        </w:tc>
        <w:tc>
          <w:tcPr>
            <w:tcW w:type="dxa" w:w="791"/>
          </w:tcPr>
          <w:p>
            <w:pPr>
              <w:pStyle w:val="Compact"/>
              <w:spacing w:after="40"/>
              <w:jc w:val="left"/>
            </w:pPr>
            <w:r>
              <w:rPr>
                <w:b/>
                <w:sz w:val="22"/>
              </w:rPr>
              <w:t xml:space="preserve">Zona</w:t>
            </w:r>
          </w:p>
        </w:tc>
        <w:tc>
          <w:tcPr>
            <w:tcW w:type="dxa" w:w="2486"/>
          </w:tcPr>
          <w:p>
            <w:pPr>
              <w:pStyle w:val="Compact"/>
              <w:spacing w:after="40"/>
              <w:jc w:val="left"/>
            </w:pPr>
            <w:r>
              <w:rPr>
                <w:b/>
                <w:sz w:val="22"/>
              </w:rPr>
              <w:t xml:space="preserve">Punto de control</w:t>
            </w:r>
          </w:p>
        </w:tc>
        <w:tc>
          <w:tcPr>
            <w:tcW w:type="dxa" w:w="2486"/>
          </w:tcPr>
          <w:p>
            <w:pPr>
              <w:pStyle w:val="Compact"/>
              <w:spacing w:after="40"/>
              <w:jc w:val="left"/>
            </w:pPr>
            <w:r>
              <w:rPr>
                <w:b/>
                <w:sz w:val="22"/>
              </w:rPr>
              <w:t xml:space="preserve">Naturaleza (DbC)</w:t>
            </w:r>
          </w:p>
        </w:tc>
      </w:tr>
      <w:tr>
        <w:tc>
          <w:tcPr>
            <w:tcW w:type="dxa" w:w="1530"/>
          </w:tcPr>
          <w:p>
            <w:pPr>
              <w:pStyle w:val="Compact"/>
              <w:spacing w:after="40"/>
              <w:jc w:val="left"/>
            </w:pPr>
            <w:r>
              <w:rPr>
                <w:sz w:val="22"/>
              </w:rPr>
              <w:t xml:space="preserve">C1</w:t>
            </w:r>
          </w:p>
        </w:tc>
        <w:tc>
          <w:tcPr>
            <w:tcW w:type="dxa" w:w="1721"/>
          </w:tcPr>
          <w:p>
            <w:pPr>
              <w:pStyle w:val="Compact"/>
              <w:spacing w:after="40"/>
              <w:jc w:val="left"/>
            </w:pPr>
            <w:r>
              <w:rPr>
                <w:sz w:val="22"/>
              </w:rPr>
              <w:t xml:space="preserve">QA Gate 1</w:t>
            </w:r>
          </w:p>
        </w:tc>
        <w:tc>
          <w:tcPr>
            <w:tcW w:type="dxa" w:w="791"/>
          </w:tcPr>
          <w:p>
            <w:pPr>
              <w:pStyle w:val="Compact"/>
              <w:spacing w:after="40"/>
              <w:jc w:val="left"/>
            </w:pPr>
            <w:r>
              <w:rPr>
                <w:sz w:val="22"/>
              </w:rPr>
              <w:t xml:space="preserve">Zona 1</w:t>
            </w:r>
          </w:p>
        </w:tc>
        <w:tc>
          <w:tcPr>
            <w:tcW w:type="dxa" w:w="2486"/>
          </w:tcPr>
          <w:p>
            <w:pPr>
              <w:pStyle w:val="Compact"/>
              <w:spacing w:after="40"/>
              <w:jc w:val="left"/>
            </w:pPr>
            <w:r>
              <w:rPr>
                <w:sz w:val="22"/>
              </w:rPr>
              <w:t xml:space="preserve">Datos crudos (antes de transformar)</w:t>
            </w:r>
          </w:p>
        </w:tc>
        <w:tc>
          <w:tcPr>
            <w:tcW w:type="dxa" w:w="2486"/>
          </w:tcPr>
          <w:p>
            <w:pPr>
              <w:pStyle w:val="Compact"/>
              <w:spacing w:after="40"/>
              <w:jc w:val="left"/>
            </w:pPr>
            <w:r>
              <w:rPr>
                <w:sz w:val="22"/>
              </w:rPr>
              <w:t xml:space="preserve">Precondición del pipeline</w:t>
            </w:r>
          </w:p>
        </w:tc>
      </w:tr>
      <w:tr>
        <w:tc>
          <w:tcPr>
            <w:tcW w:type="dxa" w:w="1530"/>
          </w:tcPr>
          <w:p>
            <w:pPr>
              <w:pStyle w:val="Compact"/>
              <w:spacing w:after="40"/>
              <w:jc w:val="left"/>
            </w:pPr>
            <w:r>
              <w:rPr>
                <w:sz w:val="22"/>
              </w:rPr>
              <w:t xml:space="preserve">C2</w:t>
            </w:r>
          </w:p>
        </w:tc>
        <w:tc>
          <w:tcPr>
            <w:tcW w:type="dxa" w:w="1721"/>
          </w:tcPr>
          <w:p>
            <w:pPr>
              <w:pStyle w:val="Compact"/>
              <w:spacing w:after="40"/>
              <w:jc w:val="left"/>
            </w:pPr>
            <w:r>
              <w:rPr>
                <w:sz w:val="22"/>
              </w:rPr>
              <w:t xml:space="preserve">QA Gate 2</w:t>
            </w:r>
          </w:p>
        </w:tc>
        <w:tc>
          <w:tcPr>
            <w:tcW w:type="dxa" w:w="791"/>
          </w:tcPr>
          <w:p>
            <w:pPr>
              <w:pStyle w:val="Compact"/>
              <w:spacing w:after="40"/>
              <w:jc w:val="left"/>
            </w:pPr>
            <w:r>
              <w:rPr>
                <w:sz w:val="22"/>
              </w:rPr>
              <w:t xml:space="preserve">Zona 1</w:t>
            </w:r>
          </w:p>
        </w:tc>
        <w:tc>
          <w:tcPr>
            <w:tcW w:type="dxa" w:w="2486"/>
          </w:tcPr>
          <w:p>
            <w:pPr>
              <w:pStyle w:val="Compact"/>
              <w:spacing w:after="40"/>
              <w:jc w:val="left"/>
            </w:pPr>
            <w:r>
              <w:rPr>
                <w:sz w:val="22"/>
              </w:rPr>
              <w:t xml:space="preserve">Salida de cada transformador</w:t>
            </w:r>
          </w:p>
        </w:tc>
        <w:tc>
          <w:tcPr>
            <w:tcW w:type="dxa" w:w="2486"/>
          </w:tcPr>
          <w:p>
            <w:pPr>
              <w:pStyle w:val="Compact"/>
              <w:spacing w:after="40"/>
              <w:jc w:val="left"/>
            </w:pPr>
            <w:r>
              <w:rPr>
                <w:sz w:val="22"/>
              </w:rPr>
              <w:t xml:space="preserve">Postcondición de cada transformador</w:t>
            </w:r>
          </w:p>
        </w:tc>
      </w:tr>
      <w:tr>
        <w:tc>
          <w:tcPr>
            <w:tcW w:type="dxa" w:w="1530"/>
          </w:tcPr>
          <w:p>
            <w:pPr>
              <w:pStyle w:val="Compact"/>
              <w:spacing w:after="40"/>
              <w:jc w:val="left"/>
            </w:pPr>
            <w:r>
              <w:rPr>
                <w:sz w:val="22"/>
              </w:rPr>
              <w:t xml:space="preserve">C3</w:t>
            </w:r>
          </w:p>
        </w:tc>
        <w:tc>
          <w:tcPr>
            <w:tcW w:type="dxa" w:w="1721"/>
          </w:tcPr>
          <w:p>
            <w:pPr>
              <w:pStyle w:val="Compact"/>
              <w:spacing w:after="40"/>
              <w:jc w:val="left"/>
            </w:pPr>
            <w:r>
              <w:rPr>
                <w:sz w:val="22"/>
              </w:rPr>
              <w:t xml:space="preserve">QA Gate 3</w:t>
            </w:r>
          </w:p>
        </w:tc>
        <w:tc>
          <w:tcPr>
            <w:tcW w:type="dxa" w:w="791"/>
          </w:tcPr>
          <w:p>
            <w:pPr>
              <w:pStyle w:val="Compact"/>
              <w:spacing w:after="40"/>
              <w:jc w:val="left"/>
            </w:pPr>
            <w:r>
              <w:rPr>
                <w:sz w:val="22"/>
              </w:rPr>
              <w:t xml:space="preserve">Zona 2</w:t>
            </w:r>
          </w:p>
        </w:tc>
        <w:tc>
          <w:tcPr>
            <w:tcW w:type="dxa" w:w="2486"/>
          </w:tcPr>
          <w:p>
            <w:pPr>
              <w:pStyle w:val="Compact"/>
              <w:spacing w:after="40"/>
              <w:jc w:val="left"/>
            </w:pPr>
            <w:r>
              <w:rPr>
                <w:sz w:val="22"/>
              </w:rPr>
              <w:t xml:space="preserve">Modelo entrenado (base y remediado)</w:t>
            </w:r>
          </w:p>
        </w:tc>
        <w:tc>
          <w:tcPr>
            <w:tcW w:type="dxa" w:w="2486"/>
          </w:tcPr>
          <w:p>
            <w:pPr>
              <w:pStyle w:val="Compact"/>
              <w:spacing w:after="40"/>
              <w:jc w:val="left"/>
            </w:pPr>
            <w:r>
              <w:rPr>
                <w:sz w:val="22"/>
              </w:rPr>
              <w:t xml:space="preserve">Postcondición del entrenamiento</w:t>
            </w:r>
          </w:p>
        </w:tc>
      </w:tr>
      <w:tr>
        <w:tc>
          <w:tcPr>
            <w:tcW w:type="dxa" w:w="1530"/>
          </w:tcPr>
          <w:p>
            <w:pPr>
              <w:pStyle w:val="Compact"/>
              <w:spacing w:after="40"/>
              <w:jc w:val="left"/>
            </w:pPr>
            <w:r>
              <w:rPr>
                <w:sz w:val="22"/>
              </w:rPr>
              <w:t xml:space="preserve">C4</w:t>
            </w:r>
          </w:p>
        </w:tc>
        <w:tc>
          <w:tcPr>
            <w:tcW w:type="dxa" w:w="1721"/>
          </w:tcPr>
          <w:p>
            <w:pPr>
              <w:pStyle w:val="Compact"/>
              <w:spacing w:after="40"/>
              <w:jc w:val="left"/>
            </w:pPr>
            <w:r>
              <w:rPr>
                <w:sz w:val="22"/>
              </w:rPr>
              <w:t xml:space="preserve">QA Gate 4</w:t>
            </w:r>
          </w:p>
        </w:tc>
        <w:tc>
          <w:tcPr>
            <w:tcW w:type="dxa" w:w="791"/>
          </w:tcPr>
          <w:p>
            <w:pPr>
              <w:pStyle w:val="Compact"/>
              <w:spacing w:after="40"/>
              <w:jc w:val="left"/>
            </w:pPr>
            <w:r>
              <w:rPr>
                <w:sz w:val="22"/>
              </w:rPr>
              <w:t xml:space="preserve">Zona 3</w:t>
            </w:r>
          </w:p>
        </w:tc>
        <w:tc>
          <w:tcPr>
            <w:tcW w:type="dxa" w:w="2486"/>
          </w:tcPr>
          <w:p>
            <w:pPr>
              <w:pStyle w:val="Compact"/>
              <w:spacing w:after="40"/>
              <w:jc w:val="left"/>
            </w:pPr>
            <w:r>
              <w:rPr>
                <w:sz w:val="22"/>
              </w:rPr>
              <w:t xml:space="preserve">Lotes puntuados en producción</w:t>
            </w:r>
          </w:p>
        </w:tc>
        <w:tc>
          <w:tcPr>
            <w:tcW w:type="dxa" w:w="2486"/>
          </w:tcPr>
          <w:p>
            <w:pPr>
              <w:pStyle w:val="Compact"/>
              <w:spacing w:after="40"/>
              <w:jc w:val="left"/>
            </w:pPr>
            <w:r>
              <w:rPr>
                <w:sz w:val="22"/>
              </w:rPr>
              <w:t xml:space="preserve">Invariante de operación</w:t>
            </w:r>
          </w:p>
        </w:tc>
      </w:tr>
    </w:tbl>
    <w:p>
      <w:pPr>
        <w:pStyle w:val="BodyText"/>
        <w:keepNext w:val="0"/>
        <w:jc w:val="center"/>
      </w:pPr>
      <w:r>
        <w:rPr>
          <w:b/>
          <w:bCs/>
        </w:rPr>
        <w:t xml:space="preserve">Tabla 10: Contratos de Equidad</w:t>
      </w:r>
    </w:p>
    <w:p>
      <w:pPr>
        <w:pStyle w:val="BodyText"/>
      </w:pPr>
      <w:r>
        <w:t xml:space="preserve">Para que los contratos sean auditables, versionables y desacoplados del código (evitando</w:t>
      </w:r>
      <w:r>
        <w:t xml:space="preserve"> </w:t>
      </w:r>
      <w:r>
        <w:t xml:space="preserve">“umbrales mágicos”</w:t>
      </w:r>
      <w:r>
        <w:t xml:space="preserve"> </w:t>
      </w:r>
      <w:r>
        <w:t xml:space="preserve">incrustados), todos comparten un</w:t>
      </w:r>
      <w:r>
        <w:t xml:space="preserve"> </w:t>
      </w:r>
      <w:r>
        <w:rPr>
          <w:b/>
          <w:bCs/>
        </w:rPr>
        <w:t xml:space="preserve">esquema declarativo común</w:t>
      </w:r>
      <w:r>
        <w:t xml:space="preserve"> </w:t>
      </w:r>
      <w:r>
        <w:t xml:space="preserve">en formato YAML. El motor de contratos valida cada archivo contra este esquema antes de ejecutarlo, genera una prueba automatizada por cada combinación de regla y atributo protegido, y produce para cada una un registro de ejecución que se envía al canal de linaje.</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3961"/>
        <w:gridCol w:w="1584"/>
        <w:gridCol w:w="3467"/>
      </w:tblGrid>
      <w:tr>
        <w:trPr>
          <w:tblHeader w:val="on"/>
          <w:tblHeader w:val="true"/>
        </w:trPr>
        <w:tc>
          <w:tcPr>
            <w:tcW w:type="dxa" w:w="3962"/>
          </w:tcPr>
          <w:p>
            <w:pPr>
              <w:pStyle w:val="Compact"/>
              <w:spacing w:after="40"/>
              <w:jc w:val="left"/>
            </w:pPr>
            <w:r>
              <w:rPr>
                <w:b/>
                <w:sz w:val="22"/>
              </w:rPr>
              <w:t xml:space="preserve">Campo</w:t>
            </w:r>
          </w:p>
        </w:tc>
        <w:tc>
          <w:tcPr>
            <w:tcW w:type="dxa" w:w="1585"/>
          </w:tcPr>
          <w:p>
            <w:pPr>
              <w:pStyle w:val="Compact"/>
              <w:spacing w:after="40"/>
              <w:jc w:val="left"/>
            </w:pPr>
            <w:r>
              <w:rPr>
                <w:b/>
                <w:sz w:val="22"/>
              </w:rPr>
              <w:t xml:space="preserve">Tipo de dato</w:t>
            </w:r>
          </w:p>
        </w:tc>
        <w:tc>
          <w:tcPr>
            <w:tcW w:type="dxa" w:w="3467"/>
          </w:tcPr>
          <w:p>
            <w:pPr>
              <w:pStyle w:val="Compact"/>
              <w:spacing w:after="40"/>
              <w:jc w:val="left"/>
            </w:pPr>
            <w:r>
              <w:rPr>
                <w:b/>
                <w:sz w:val="22"/>
              </w:rPr>
              <w:t xml:space="preserve">Descripción</w:t>
            </w:r>
          </w:p>
        </w:tc>
      </w:tr>
      <w:tr>
        <w:tc>
          <w:tcPr>
            <w:tcW w:type="dxa" w:w="3962"/>
          </w:tcPr>
          <w:p>
            <w:pPr>
              <w:pStyle w:val="Compact"/>
              <w:spacing w:after="40"/>
              <w:jc w:val="left"/>
            </w:pPr>
            <w:r>
              <w:rPr>
                <w:rStyle w:val="VerbatimChar"/>
                <w:sz w:val="22"/>
              </w:rPr>
              <w:t xml:space="preserve">contract_id</w:t>
            </w:r>
          </w:p>
        </w:tc>
        <w:tc>
          <w:tcPr>
            <w:tcW w:type="dxa" w:w="1585"/>
          </w:tcPr>
          <w:p>
            <w:pPr>
              <w:pStyle w:val="Compact"/>
              <w:spacing w:after="40"/>
              <w:jc w:val="left"/>
            </w:pPr>
            <w:r>
              <w:rPr>
                <w:sz w:val="22"/>
              </w:rPr>
              <w:t xml:space="preserve">String</w:t>
            </w:r>
          </w:p>
        </w:tc>
        <w:tc>
          <w:tcPr>
            <w:tcW w:type="dxa" w:w="3467"/>
          </w:tcPr>
          <w:p>
            <w:pPr>
              <w:pStyle w:val="Compact"/>
              <w:spacing w:after="40"/>
              <w:jc w:val="left"/>
            </w:pPr>
            <w:r>
              <w:rPr>
                <w:sz w:val="22"/>
              </w:rPr>
              <w:t xml:space="preserve">Identificador único del contrato (ej. C3)</w:t>
            </w:r>
          </w:p>
        </w:tc>
      </w:tr>
      <w:tr>
        <w:tc>
          <w:tcPr>
            <w:tcW w:type="dxa" w:w="3962"/>
          </w:tcPr>
          <w:p>
            <w:pPr>
              <w:pStyle w:val="Compact"/>
              <w:spacing w:after="40"/>
              <w:jc w:val="left"/>
            </w:pPr>
            <w:r>
              <w:rPr>
                <w:rStyle w:val="VerbatimChar"/>
                <w:sz w:val="22"/>
              </w:rPr>
              <w:t xml:space="preserve">version</w:t>
            </w:r>
          </w:p>
        </w:tc>
        <w:tc>
          <w:tcPr>
            <w:tcW w:type="dxa" w:w="1585"/>
          </w:tcPr>
          <w:p>
            <w:pPr>
              <w:pStyle w:val="Compact"/>
              <w:spacing w:after="40"/>
              <w:jc w:val="left"/>
            </w:pPr>
            <w:r>
              <w:rPr>
                <w:sz w:val="22"/>
              </w:rPr>
              <w:t xml:space="preserve">String</w:t>
            </w:r>
          </w:p>
        </w:tc>
        <w:tc>
          <w:tcPr>
            <w:tcW w:type="dxa" w:w="3467"/>
          </w:tcPr>
          <w:p>
            <w:pPr>
              <w:pStyle w:val="Compact"/>
              <w:spacing w:after="40"/>
              <w:jc w:val="left"/>
            </w:pPr>
            <w:r>
              <w:rPr>
                <w:sz w:val="22"/>
              </w:rPr>
              <w:t xml:space="preserve">Versión del contrato; cada cambio de umbral genera una versión nueva</w:t>
            </w:r>
          </w:p>
        </w:tc>
      </w:tr>
      <w:tr>
        <w:tc>
          <w:tcPr>
            <w:tcW w:type="dxa" w:w="3962"/>
          </w:tcPr>
          <w:p>
            <w:pPr>
              <w:pStyle w:val="Compact"/>
              <w:spacing w:after="40"/>
              <w:jc w:val="left"/>
            </w:pPr>
            <w:r>
              <w:rPr>
                <w:rStyle w:val="VerbatimChar"/>
                <w:sz w:val="22"/>
              </w:rPr>
              <w:t xml:space="preserve">gate</w:t>
            </w:r>
          </w:p>
        </w:tc>
        <w:tc>
          <w:tcPr>
            <w:tcW w:type="dxa" w:w="1585"/>
          </w:tcPr>
          <w:p>
            <w:pPr>
              <w:pStyle w:val="Compact"/>
              <w:spacing w:after="40"/>
              <w:jc w:val="left"/>
            </w:pPr>
            <w:r>
              <w:rPr>
                <w:sz w:val="22"/>
              </w:rPr>
              <w:t xml:space="preserve">String</w:t>
            </w:r>
          </w:p>
        </w:tc>
        <w:tc>
          <w:tcPr>
            <w:tcW w:type="dxa" w:w="3467"/>
          </w:tcPr>
          <w:p>
            <w:pPr>
              <w:pStyle w:val="Compact"/>
              <w:spacing w:after="40"/>
              <w:jc w:val="left"/>
            </w:pPr>
            <w:r>
              <w:rPr>
                <w:sz w:val="22"/>
              </w:rPr>
              <w:t xml:space="preserve">Compuerta a la que pertenece (ej. QA_GATE_3)</w:t>
            </w:r>
          </w:p>
        </w:tc>
      </w:tr>
      <w:tr>
        <w:tc>
          <w:tcPr>
            <w:tcW w:type="dxa" w:w="3962"/>
          </w:tcPr>
          <w:p>
            <w:pPr>
              <w:pStyle w:val="Compact"/>
              <w:spacing w:after="40"/>
              <w:jc w:val="left"/>
            </w:pPr>
            <w:r>
              <w:rPr>
                <w:rStyle w:val="VerbatimChar"/>
                <w:sz w:val="22"/>
              </w:rPr>
              <w:t xml:space="preserve">stage</w:t>
            </w:r>
          </w:p>
        </w:tc>
        <w:tc>
          <w:tcPr>
            <w:tcW w:type="dxa" w:w="1585"/>
          </w:tcPr>
          <w:p>
            <w:pPr>
              <w:pStyle w:val="Compact"/>
              <w:spacing w:after="40"/>
              <w:jc w:val="left"/>
            </w:pPr>
            <w:r>
              <w:rPr>
                <w:sz w:val="22"/>
              </w:rPr>
              <w:t xml:space="preserve">String</w:t>
            </w:r>
          </w:p>
        </w:tc>
        <w:tc>
          <w:tcPr>
            <w:tcW w:type="dxa" w:w="3467"/>
          </w:tcPr>
          <w:p>
            <w:pPr>
              <w:pStyle w:val="Compact"/>
              <w:spacing w:after="40"/>
              <w:jc w:val="left"/>
            </w:pPr>
            <w:r>
              <w:rPr>
                <w:sz w:val="22"/>
              </w:rPr>
              <w:t xml:space="preserve">Etapa del pipeline donde se evalúa (ej. modelo_entrenado)</w:t>
            </w:r>
          </w:p>
        </w:tc>
      </w:tr>
      <w:tr>
        <w:tc>
          <w:tcPr>
            <w:tcW w:type="dxa" w:w="3962"/>
          </w:tcPr>
          <w:p>
            <w:pPr>
              <w:pStyle w:val="Compact"/>
              <w:spacing w:after="40"/>
              <w:jc w:val="left"/>
            </w:pPr>
            <w:r>
              <w:rPr>
                <w:rStyle w:val="VerbatimChar"/>
                <w:sz w:val="22"/>
              </w:rPr>
              <w:t xml:space="preserve">dataset</w:t>
            </w:r>
          </w:p>
        </w:tc>
        <w:tc>
          <w:tcPr>
            <w:tcW w:type="dxa" w:w="1585"/>
          </w:tcPr>
          <w:p>
            <w:pPr>
              <w:pStyle w:val="Compact"/>
              <w:spacing w:after="40"/>
              <w:jc w:val="left"/>
            </w:pPr>
            <w:r>
              <w:rPr>
                <w:sz w:val="22"/>
              </w:rPr>
              <w:t xml:space="preserve">String</w:t>
            </w:r>
          </w:p>
        </w:tc>
        <w:tc>
          <w:tcPr>
            <w:tcW w:type="dxa" w:w="3467"/>
          </w:tcPr>
          <w:p>
            <w:pPr>
              <w:pStyle w:val="Compact"/>
              <w:spacing w:after="40"/>
              <w:jc w:val="left"/>
            </w:pPr>
            <w:r>
              <w:rPr>
                <w:sz w:val="22"/>
              </w:rPr>
              <w:t xml:space="preserve">Caso de estudio al que aplica (ej. davronov)</w:t>
            </w:r>
          </w:p>
        </w:tc>
      </w:tr>
      <w:tr>
        <w:tc>
          <w:tcPr>
            <w:tcW w:type="dxa" w:w="3962"/>
          </w:tcPr>
          <w:p>
            <w:pPr>
              <w:pStyle w:val="Compact"/>
              <w:spacing w:after="40"/>
              <w:jc w:val="left"/>
            </w:pPr>
            <w:r>
              <w:rPr>
                <w:rStyle w:val="VerbatimChar"/>
                <w:sz w:val="22"/>
              </w:rPr>
              <w:t xml:space="preserve">protected_attributes</w:t>
            </w:r>
          </w:p>
        </w:tc>
        <w:tc>
          <w:tcPr>
            <w:tcW w:type="dxa" w:w="1585"/>
          </w:tcPr>
          <w:p>
            <w:pPr>
              <w:pStyle w:val="Compact"/>
              <w:spacing w:after="40"/>
              <w:jc w:val="left"/>
            </w:pPr>
            <w:r>
              <w:rPr>
                <w:sz w:val="22"/>
              </w:rPr>
              <w:t xml:space="preserve">List (Object)</w:t>
            </w:r>
          </w:p>
        </w:tc>
        <w:tc>
          <w:tcPr>
            <w:tcW w:type="dxa" w:w="3467"/>
          </w:tcPr>
          <w:p>
            <w:pPr>
              <w:pStyle w:val="Compact"/>
              <w:spacing w:after="40"/>
              <w:jc w:val="left"/>
            </w:pPr>
            <w:r>
              <w:rPr>
                <w:sz w:val="22"/>
              </w:rPr>
              <w:t xml:space="preserve">Atributos protegidos: nombre, grupos y grupo no privilegiado (o</w:t>
            </w:r>
            <w:r>
              <w:rPr>
                <w:sz w:val="22"/>
              </w:rPr>
              <w:t xml:space="preserve"> </w:t>
            </w:r>
            <w:r>
              <w:rPr>
                <w:rStyle w:val="VerbatimChar"/>
                <w:sz w:val="22"/>
              </w:rPr>
              <w:t xml:space="preserve">null</w:t>
            </w:r>
            <w:r>
              <w:rPr>
                <w:sz w:val="22"/>
              </w:rPr>
              <w:t xml:space="preserve"> </w:t>
            </w:r>
            <w:r>
              <w:rPr>
                <w:sz w:val="22"/>
              </w:rPr>
              <w:t xml:space="preserve">si no se conoce)</w:t>
            </w:r>
          </w:p>
        </w:tc>
      </w:tr>
      <w:tr>
        <w:tc>
          <w:tcPr>
            <w:tcW w:type="dxa" w:w="3962"/>
          </w:tcPr>
          <w:p>
            <w:pPr>
              <w:pStyle w:val="Compact"/>
              <w:spacing w:after="40"/>
              <w:jc w:val="left"/>
            </w:pPr>
            <w:r>
              <w:rPr>
                <w:rStyle w:val="VerbatimChar"/>
                <w:sz w:val="22"/>
              </w:rPr>
              <w:t xml:space="preserve">rules</w:t>
            </w:r>
          </w:p>
        </w:tc>
        <w:tc>
          <w:tcPr>
            <w:tcW w:type="dxa" w:w="1585"/>
          </w:tcPr>
          <w:p>
            <w:pPr>
              <w:pStyle w:val="Compact"/>
              <w:spacing w:after="40"/>
              <w:jc w:val="left"/>
            </w:pPr>
            <w:r>
              <w:rPr>
                <w:sz w:val="22"/>
              </w:rPr>
              <w:t xml:space="preserve">List (Object)</w:t>
            </w:r>
          </w:p>
        </w:tc>
        <w:tc>
          <w:tcPr>
            <w:tcW w:type="dxa" w:w="3467"/>
          </w:tcPr>
          <w:p>
            <w:pPr>
              <w:pStyle w:val="Compact"/>
              <w:spacing w:after="40"/>
              <w:jc w:val="left"/>
            </w:pPr>
            <w:r>
              <w:rPr>
                <w:sz w:val="22"/>
              </w:rPr>
              <w:t xml:space="preserve">Reglas:</w:t>
            </w:r>
            <w:r>
              <w:rPr>
                <w:sz w:val="22"/>
              </w:rPr>
              <w:t xml:space="preserve"> </w:t>
            </w:r>
            <w:r>
              <w:rPr>
                <w:rStyle w:val="VerbatimChar"/>
                <w:sz w:val="22"/>
              </w:rPr>
              <w:t xml:space="preserve">id</w:t>
            </w:r>
            <w:r>
              <w:rPr>
                <w:sz w:val="22"/>
              </w:rPr>
              <w:t xml:space="preserve">,</w:t>
            </w:r>
            <w:r>
              <w:rPr>
                <w:sz w:val="22"/>
              </w:rPr>
              <w:t xml:space="preserve"> </w:t>
            </w:r>
            <w:r>
              <w:rPr>
                <w:rStyle w:val="VerbatimChar"/>
                <w:sz w:val="22"/>
              </w:rPr>
              <w:t xml:space="preserve">metric</w:t>
            </w:r>
            <w:r>
              <w:rPr>
                <w:sz w:val="22"/>
              </w:rPr>
              <w:t xml:space="preserve">,</w:t>
            </w:r>
            <w:r>
              <w:rPr>
                <w:sz w:val="22"/>
              </w:rPr>
              <w:t xml:space="preserve"> </w:t>
            </w:r>
            <w:r>
              <w:rPr>
                <w:rStyle w:val="VerbatimChar"/>
                <w:sz w:val="22"/>
              </w:rPr>
              <w:t xml:space="preserve">operator</w:t>
            </w:r>
            <w:r>
              <w:rPr>
                <w:sz w:val="22"/>
              </w:rPr>
              <w:t xml:space="preserve">,</w:t>
            </w:r>
            <w:r>
              <w:rPr>
                <w:sz w:val="22"/>
              </w:rPr>
              <w:t xml:space="preserve"> </w:t>
            </w:r>
            <w:r>
              <w:rPr>
                <w:rStyle w:val="VerbatimChar"/>
                <w:sz w:val="22"/>
              </w:rPr>
              <w:t xml:space="preserve">threshold</w:t>
            </w:r>
            <w:r>
              <w:rPr>
                <w:sz w:val="22"/>
              </w:rPr>
              <w:t xml:space="preserve"> </w:t>
            </w:r>
            <w:r>
              <w:rPr>
                <w:sz w:val="22"/>
              </w:rPr>
              <w:t xml:space="preserve">y</w:t>
            </w:r>
            <w:r>
              <w:rPr>
                <w:sz w:val="22"/>
              </w:rPr>
              <w:t xml:space="preserve"> </w:t>
            </w:r>
            <w:r>
              <w:rPr>
                <w:rStyle w:val="VerbatimChar"/>
                <w:sz w:val="22"/>
              </w:rPr>
              <w:t xml:space="preserve">severity</w:t>
            </w:r>
            <w:r>
              <w:rPr>
                <w:sz w:val="22"/>
              </w:rPr>
              <w:t xml:space="preserve"> </w:t>
            </w:r>
            <w:r>
              <w:rPr>
                <w:sz w:val="22"/>
              </w:rPr>
              <w:t xml:space="preserve">(</w:t>
            </w:r>
            <w:r>
              <w:rPr>
                <w:rStyle w:val="VerbatimChar"/>
                <w:sz w:val="22"/>
              </w:rPr>
              <w:t xml:space="preserve">block</w:t>
            </w:r>
            <w:r>
              <w:rPr>
                <w:sz w:val="22"/>
              </w:rPr>
              <w:t xml:space="preserve"> </w:t>
            </w:r>
            <w:r>
              <w:rPr>
                <w:sz w:val="22"/>
              </w:rPr>
              <w:t xml:space="preserve">o</w:t>
            </w:r>
            <w:r>
              <w:rPr>
                <w:sz w:val="22"/>
              </w:rPr>
              <w:t xml:space="preserve"> </w:t>
            </w:r>
            <w:r>
              <w:rPr>
                <w:rStyle w:val="VerbatimChar"/>
                <w:sz w:val="22"/>
              </w:rPr>
              <w:t xml:space="preserve">warn</w:t>
            </w:r>
            <w:r>
              <w:rPr>
                <w:sz w:val="22"/>
              </w:rPr>
              <w:t xml:space="preserve">)</w:t>
            </w:r>
          </w:p>
        </w:tc>
      </w:tr>
      <w:tr>
        <w:tc>
          <w:tcPr>
            <w:tcW w:type="dxa" w:w="3962"/>
          </w:tcPr>
          <w:p>
            <w:pPr>
              <w:pStyle w:val="Compact"/>
              <w:spacing w:after="40"/>
              <w:jc w:val="left"/>
            </w:pPr>
            <w:r>
              <w:rPr>
                <w:rStyle w:val="VerbatimChar"/>
                <w:sz w:val="22"/>
              </w:rPr>
              <w:t xml:space="preserve">statistics</w:t>
            </w:r>
          </w:p>
        </w:tc>
        <w:tc>
          <w:tcPr>
            <w:tcW w:type="dxa" w:w="1585"/>
          </w:tcPr>
          <w:p>
            <w:pPr>
              <w:pStyle w:val="Compact"/>
              <w:spacing w:after="40"/>
              <w:jc w:val="left"/>
            </w:pPr>
            <w:r>
              <w:rPr>
                <w:sz w:val="22"/>
              </w:rPr>
              <w:t xml:space="preserve">Object</w:t>
            </w:r>
          </w:p>
        </w:tc>
        <w:tc>
          <w:tcPr>
            <w:tcW w:type="dxa" w:w="3467"/>
          </w:tcPr>
          <w:p>
            <w:pPr>
              <w:pStyle w:val="Compact"/>
              <w:spacing w:after="40"/>
              <w:jc w:val="left"/>
            </w:pPr>
            <w:r>
              <w:rPr>
                <w:sz w:val="22"/>
              </w:rPr>
              <w:t xml:space="preserve">Método de estimación de la incertidumbre (ej.</w:t>
            </w:r>
            <w:r>
              <w:rPr>
                <w:sz w:val="22"/>
              </w:rPr>
              <w:t xml:space="preserve"> </w:t>
            </w:r>
            <w:r>
              <w:rPr>
                <w:i/>
                <w:iCs/>
                <w:sz w:val="22"/>
              </w:rPr>
              <w:t xml:space="preserve">bootstrap</w:t>
            </w:r>
            <w:r>
              <w:rPr>
                <w:sz w:val="22"/>
              </w:rPr>
              <w:t xml:space="preserve">, número de remuestreos, nivel de confianza)</w:t>
            </w:r>
          </w:p>
        </w:tc>
      </w:tr>
      <w:tr>
        <w:tc>
          <w:tcPr>
            <w:tcW w:type="dxa" w:w="3962"/>
          </w:tcPr>
          <w:p>
            <w:pPr>
              <w:pStyle w:val="Compact"/>
              <w:spacing w:after="40"/>
              <w:jc w:val="left"/>
            </w:pPr>
            <w:r>
              <w:rPr>
                <w:rStyle w:val="VerbatimChar"/>
                <w:sz w:val="22"/>
              </w:rPr>
              <w:t xml:space="preserve">remediation</w:t>
            </w:r>
          </w:p>
        </w:tc>
        <w:tc>
          <w:tcPr>
            <w:tcW w:type="dxa" w:w="1585"/>
          </w:tcPr>
          <w:p>
            <w:pPr>
              <w:pStyle w:val="Compact"/>
              <w:spacing w:after="40"/>
              <w:jc w:val="left"/>
            </w:pPr>
            <w:r>
              <w:rPr>
                <w:sz w:val="22"/>
              </w:rPr>
              <w:t xml:space="preserve">Object</w:t>
            </w:r>
          </w:p>
        </w:tc>
        <w:tc>
          <w:tcPr>
            <w:tcW w:type="dxa" w:w="3467"/>
          </w:tcPr>
          <w:p>
            <w:pPr>
              <w:pStyle w:val="Compact"/>
              <w:spacing w:after="40"/>
              <w:jc w:val="left"/>
            </w:pPr>
            <w:r>
              <w:rPr>
                <w:sz w:val="22"/>
              </w:rPr>
              <w:t xml:space="preserve">Técnica de mitigación a aplicar si el contrato falla (solo C3)</w:t>
            </w:r>
          </w:p>
        </w:tc>
      </w:tr>
      <w:tr>
        <w:tc>
          <w:tcPr>
            <w:tcW w:type="dxa" w:w="3962"/>
          </w:tcPr>
          <w:p>
            <w:pPr>
              <w:pStyle w:val="Compact"/>
              <w:spacing w:after="40"/>
              <w:jc w:val="left"/>
            </w:pPr>
            <w:r>
              <w:rPr>
                <w:rStyle w:val="VerbatimChar"/>
                <w:sz w:val="22"/>
              </w:rPr>
              <w:t xml:space="preserve">tooling</w:t>
            </w:r>
          </w:p>
        </w:tc>
        <w:tc>
          <w:tcPr>
            <w:tcW w:type="dxa" w:w="1585"/>
          </w:tcPr>
          <w:p>
            <w:pPr>
              <w:pStyle w:val="Compact"/>
              <w:spacing w:after="40"/>
              <w:jc w:val="left"/>
            </w:pPr>
            <w:r>
              <w:rPr>
                <w:sz w:val="22"/>
              </w:rPr>
              <w:t xml:space="preserve">String</w:t>
            </w:r>
          </w:p>
        </w:tc>
        <w:tc>
          <w:tcPr>
            <w:tcW w:type="dxa" w:w="3467"/>
          </w:tcPr>
          <w:p>
            <w:pPr>
              <w:pStyle w:val="Compact"/>
              <w:spacing w:after="40"/>
              <w:jc w:val="left"/>
            </w:pPr>
            <w:r>
              <w:rPr>
                <w:sz w:val="22"/>
              </w:rPr>
              <w:t xml:space="preserve">Biblioteca responsable del cálculo de las métricas (ej. fairlearn)</w:t>
            </w:r>
          </w:p>
        </w:tc>
      </w:tr>
    </w:tbl>
    <w:p>
      <w:pPr>
        <w:pStyle w:val="BodyText"/>
        <w:keepNext w:val="0"/>
        <w:jc w:val="center"/>
      </w:pPr>
      <w:r>
        <w:rPr>
          <w:b/>
          <w:bCs/>
        </w:rPr>
        <w:t xml:space="preserve">Tabla 11: Esquema declarativo común de un contrato</w:t>
      </w:r>
    </w:p>
    <w:p>
      <w:pPr>
        <w:pStyle w:val="BodyText"/>
      </w:pPr>
      <w:r>
        <w:t xml:space="preserve">El motor de contratos incorpora tres decisiones de diseño:</w:t>
      </w:r>
    </w:p>
    <w:p>
      <w:pPr>
        <w:pStyle w:val="Compact"/>
        <w:numPr>
          <w:ilvl w:val="0"/>
          <w:numId w:val="1033"/>
        </w:numPr>
      </w:pPr>
      <w:r>
        <w:rPr>
          <w:b/>
          <w:bCs/>
        </w:rPr>
        <w:t xml:space="preserve">Métricas simétricas o direccionales.</w:t>
      </w:r>
      <w:r>
        <w:t xml:space="preserve"> </w:t>
      </w:r>
      <w:r>
        <w:t xml:space="preserve">Cuando se conoce el grupo no privilegiado, el Impacto Dispar se calcula de forma direccional (tasa de selección del grupo no privilegiado sobre la del privilegiado). Cuando la codificación del atributo no permite identificarlo, se usan las versiones simétricas: la diferencia absoluta entre grupos para SPD y EOD, y el cociente entre la menor y la mayor tasa de selección para DI.</w:t>
      </w:r>
    </w:p>
    <w:p>
      <w:pPr>
        <w:pStyle w:val="Compact"/>
        <w:numPr>
          <w:ilvl w:val="0"/>
          <w:numId w:val="1033"/>
        </w:numPr>
      </w:pPr>
      <w:r>
        <w:rPr>
          <w:b/>
          <w:bCs/>
        </w:rPr>
        <w:t xml:space="preserve">Decisión con incertidumbre.</w:t>
      </w:r>
      <w:r>
        <w:t xml:space="preserve"> </w:t>
      </w:r>
      <w:r>
        <w:t xml:space="preserve">Cada métrica se estima con un intervalo de confianza por</w:t>
      </w:r>
      <w:r>
        <w:t xml:space="preserve"> </w:t>
      </w:r>
      <w:r>
        <w:rPr>
          <w:i/>
          <w:iCs/>
        </w:rPr>
        <w:t xml:space="preserve">bootstrap</w:t>
      </w:r>
      <w:r>
        <w:t xml:space="preserve"> </w:t>
      </w:r>
      <w:r>
        <w:t xml:space="preserve">(Efron &amp; Tibshirani, 1993), y la compuerta decide con el extremo del intervalo más desfavorable respecto del umbral. Así se evita que un grupo pequeño haga aprobar o fallar el contrato por azar de la partición de datos.</w:t>
      </w:r>
    </w:p>
    <w:p>
      <w:pPr>
        <w:pStyle w:val="Compact"/>
        <w:numPr>
          <w:ilvl w:val="0"/>
          <w:numId w:val="1033"/>
        </w:numPr>
      </w:pPr>
      <w:r>
        <w:rPr>
          <w:b/>
          <w:bCs/>
        </w:rPr>
        <w:t xml:space="preserve">Resultados estructurados.</w:t>
      </w:r>
      <w:r>
        <w:t xml:space="preserve"> </w:t>
      </w:r>
      <w:r>
        <w:t xml:space="preserve">Cada evaluación genera un registro con el contrato, la regla, el atributo, el valor estimado, su intervalo, el umbral, el resultado y el hash del lote evaluado, que alimenta la trazabilidad de la Zona 4.</w:t>
      </w:r>
    </w:p>
    <w:bookmarkEnd w:id="91"/>
    <w:bookmarkStart w:id="92" w:name="X6f4bef50fd29431da8ffa6b1436779674225a88"/>
    <w:p>
      <w:pPr>
        <w:pStyle w:val="Heading3"/>
      </w:pPr>
      <w:r>
        <w:t xml:space="preserve">4.3.2. Metodología de logro y reproducibilidad</w:t>
      </w:r>
    </w:p>
    <w:p>
      <w:pPr>
        <w:pStyle w:val="FirstParagraph"/>
      </w:pPr>
      <w:r>
        <w:t xml:space="preserve">De conformidad con la Fase 2 (Diseño Arquitectónico y Formulación de Contratos) de la Sección 1.3.2, este entregable se alcanzó articulando la formulación estadística de la equidad algorítmica con el paradigma de Diseño por Contrato (Nguyen, 2024), en cuatro etapas:</w:t>
      </w:r>
    </w:p>
    <w:p>
      <w:pPr>
        <w:pStyle w:val="BodyText"/>
      </w:pPr>
      <w:r>
        <w:t xml:space="preserve">A.</w:t>
      </w:r>
      <w:r>
        <w:t xml:space="preserve"> </w:t>
      </w:r>
      <w:r>
        <w:rPr>
          <w:b/>
          <w:bCs/>
        </w:rPr>
        <w:t xml:space="preserve">Modelado matemático del scoring crediticio y de los casos de estudio.</w:t>
      </w:r>
      <w:r>
        <w:t xml:space="preserve"> </w:t>
      </w:r>
      <w:r>
        <w:t xml:space="preserve">Se formalizó la tarea como clasificación binaria supervisada, con X el vector de variables del solicitante, Y ∈ {0, 1} la etiqueta real (1 = buen pagador, 0 =</w:t>
      </w:r>
      <w:r>
        <w:t xml:space="preserve"> </w:t>
      </w:r>
      <w:r>
        <w:rPr>
          <w:i/>
          <w:iCs/>
        </w:rPr>
        <w:t xml:space="preserve">default</w:t>
      </w:r>
      <w:r>
        <w:t xml:space="preserve">) y un conjunto de atributos protegidos Z = {Z₁, …, Zₘ}, cada uno con sus grupos (MathWorks, s.f.). Se caracterizaron los dos casos de estudio de la Tabla 14.</w:t>
      </w:r>
    </w:p>
    <w:p>
      <w:pPr>
        <w:pStyle w:val="BodyText"/>
      </w:pPr>
      <w:r>
        <w:t xml:space="preserve">B.</w:t>
      </w:r>
      <w:r>
        <w:t xml:space="preserve"> </w:t>
      </w:r>
      <w:r>
        <w:rPr>
          <w:b/>
          <w:bCs/>
        </w:rPr>
        <w:t xml:space="preserve">Definición de aserciones para datos y transformadores.</w:t>
      </w:r>
      <w:r>
        <w:t xml:space="preserve"> </w:t>
      </w:r>
      <w:r>
        <w:t xml:space="preserve">Se diseñaron las precondiciones sobre los datos crudos (C1) y las postcondiciones de cada transformador (C2), operativizando la naturaleza composicional del sesgo: una transformación intermedia puede introducir o amplificar la dependencia respecto del atributo protegido aunque los datos de entrada no la tuvieran (Biswas &amp; Rajan, 2021).</w:t>
      </w:r>
    </w:p>
    <w:p>
      <w:pPr>
        <w:pStyle w:val="BodyText"/>
      </w:pPr>
      <w:r>
        <w:t xml:space="preserve">C.</w:t>
      </w:r>
      <w:r>
        <w:t xml:space="preserve"> </w:t>
      </w:r>
      <w:r>
        <w:rPr>
          <w:b/>
          <w:bCs/>
        </w:rPr>
        <w:t xml:space="preserve">Formulación de aserciones sobre el modelo y la operación.</w:t>
      </w:r>
      <w:r>
        <w:t xml:space="preserve"> </w:t>
      </w:r>
      <w:r>
        <w:t xml:space="preserve">Se integraron en la postcondición del entrenamiento (C3) y en el invariante de operación (C4) las métricas de equidad de grupo de Hardt et al. (2016), con umbrales de tolerancia basados en la regla de los cuatro quintos (Uniform Guidelines on Employee Selection Procedures, 1978) y en la doctrina de impacto dispar aplicada al crédito (Bartlett et al., 2022).</w:t>
      </w:r>
    </w:p>
    <w:p>
      <w:pPr>
        <w:pStyle w:val="BodyText"/>
      </w:pPr>
      <w:r>
        <w:t xml:space="preserve">D.</w:t>
      </w:r>
      <w:r>
        <w:t xml:space="preserve"> </w:t>
      </w:r>
      <w:r>
        <w:rPr>
          <w:b/>
          <w:bCs/>
        </w:rPr>
        <w:t xml:space="preserve">Calibración de umbrales con casos conocidos.</w:t>
      </w:r>
      <w:r>
        <w:t xml:space="preserve"> </w:t>
      </w:r>
      <w:r>
        <w:t xml:space="preserve">Los umbrales que no provienen de la literatura (en particular, los del C2) se calibran con un caso positivo conocido: la variable</w:t>
      </w:r>
      <w:r>
        <w:t xml:space="preserve"> </w:t>
      </w:r>
      <w:r>
        <w:rPr>
          <w:rStyle w:val="VerbatimChar"/>
        </w:rPr>
        <w:t xml:space="preserve">Marital</w:t>
      </w:r>
      <w:r>
        <w:t xml:space="preserve"> </w:t>
      </w:r>
      <w:r>
        <w:t xml:space="preserve">del dataset Davronov, cuya inclusión reintroduce información del atributo</w:t>
      </w:r>
      <w:r>
        <w:t xml:space="preserve"> </w:t>
      </w:r>
      <w:r>
        <w:rPr>
          <w:rStyle w:val="VerbatimChar"/>
        </w:rPr>
        <w:t xml:space="preserve">Sex</w:t>
      </w:r>
      <w:r>
        <w:t xml:space="preserve"> </w:t>
      </w:r>
      <w:r>
        <w:t xml:space="preserve">(ver 4.3.3), y con el mismo pipeline sin esa variable como caso negativo.</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1266"/>
        <w:gridCol w:w="2214"/>
        <w:gridCol w:w="972"/>
        <w:gridCol w:w="1685"/>
        <w:gridCol w:w="1225"/>
        <w:gridCol w:w="1649"/>
      </w:tblGrid>
      <w:tr>
        <w:trPr>
          <w:tblHeader w:val="on"/>
          <w:tblHeader w:val="true"/>
        </w:trPr>
        <w:tc>
          <w:tcPr>
            <w:tcW w:type="dxa" w:w="1266"/>
          </w:tcPr>
          <w:p>
            <w:pPr>
              <w:pStyle w:val="Compact"/>
              <w:spacing w:after="40"/>
              <w:jc w:val="left"/>
            </w:pPr>
            <w:r>
              <w:rPr>
                <w:b/>
                <w:sz w:val="19"/>
              </w:rPr>
              <w:t xml:space="preserve">Caso</w:t>
            </w:r>
          </w:p>
        </w:tc>
        <w:tc>
          <w:tcPr>
            <w:tcW w:type="dxa" w:w="2215"/>
          </w:tcPr>
          <w:p>
            <w:pPr>
              <w:pStyle w:val="Compact"/>
              <w:spacing w:after="40"/>
              <w:jc w:val="left"/>
            </w:pPr>
            <w:r>
              <w:rPr>
                <w:b/>
                <w:sz w:val="19"/>
              </w:rPr>
              <w:t xml:space="preserve">Fuente</w:t>
            </w:r>
          </w:p>
        </w:tc>
        <w:tc>
          <w:tcPr>
            <w:tcW w:type="dxa" w:w="973"/>
          </w:tcPr>
          <w:p>
            <w:pPr>
              <w:pStyle w:val="Compact"/>
              <w:spacing w:after="40"/>
              <w:jc w:val="left"/>
            </w:pPr>
            <w:r>
              <w:rPr>
                <w:b/>
                <w:sz w:val="19"/>
              </w:rPr>
              <w:t xml:space="preserve">Registros</w:t>
            </w:r>
          </w:p>
        </w:tc>
        <w:tc>
          <w:tcPr>
            <w:tcW w:type="dxa" w:w="1685"/>
          </w:tcPr>
          <w:p>
            <w:pPr>
              <w:pStyle w:val="Compact"/>
              <w:spacing w:after="40"/>
              <w:jc w:val="left"/>
            </w:pPr>
            <w:r>
              <w:rPr>
                <w:b/>
                <w:sz w:val="19"/>
              </w:rPr>
              <w:t xml:space="preserve">Atributos protegidos</w:t>
            </w:r>
          </w:p>
        </w:tc>
        <w:tc>
          <w:tcPr>
            <w:tcW w:type="dxa" w:w="1226"/>
          </w:tcPr>
          <w:p>
            <w:pPr>
              <w:pStyle w:val="Compact"/>
              <w:spacing w:after="40"/>
              <w:jc w:val="left"/>
            </w:pPr>
            <w:r>
              <w:rPr>
                <w:b/>
                <w:sz w:val="19"/>
              </w:rPr>
              <w:t xml:space="preserve">Etiqueta</w:t>
            </w:r>
          </w:p>
        </w:tc>
        <w:tc>
          <w:tcPr>
            <w:tcW w:type="dxa" w:w="1649"/>
          </w:tcPr>
          <w:p>
            <w:pPr>
              <w:pStyle w:val="Compact"/>
              <w:spacing w:after="40"/>
              <w:jc w:val="left"/>
            </w:pPr>
            <w:r>
              <w:rPr>
                <w:b/>
                <w:sz w:val="19"/>
              </w:rPr>
              <w:t xml:space="preserve">Uso en la tesis</w:t>
            </w:r>
          </w:p>
        </w:tc>
      </w:tr>
      <w:tr>
        <w:tc>
          <w:tcPr>
            <w:tcW w:type="dxa" w:w="1266"/>
          </w:tcPr>
          <w:p>
            <w:pPr>
              <w:pStyle w:val="Compact"/>
              <w:spacing w:after="40"/>
              <w:jc w:val="left"/>
            </w:pPr>
            <w:r>
              <w:rPr>
                <w:b/>
                <w:bCs/>
                <w:sz w:val="19"/>
              </w:rPr>
              <w:t xml:space="preserve">Davronov</w:t>
            </w:r>
            <w:r>
              <w:rPr>
                <w:sz w:val="19"/>
              </w:rPr>
              <w:t xml:space="preserve"> </w:t>
            </w:r>
            <w:r>
              <w:rPr>
                <w:sz w:val="19"/>
              </w:rPr>
              <w:t xml:space="preserve">(principal)</w:t>
            </w:r>
          </w:p>
        </w:tc>
        <w:tc>
          <w:tcPr>
            <w:tcW w:type="dxa" w:w="2215"/>
          </w:tcPr>
          <w:p>
            <w:pPr>
              <w:pStyle w:val="Compact"/>
              <w:spacing w:after="40"/>
              <w:jc w:val="left"/>
            </w:pPr>
            <w:r>
              <w:rPr>
                <w:sz w:val="19"/>
              </w:rPr>
              <w:t xml:space="preserve">Kaggle,</w:t>
            </w:r>
            <w:r>
              <w:rPr>
                <w:sz w:val="19"/>
              </w:rPr>
              <w:t xml:space="preserve"> </w:t>
            </w:r>
            <w:r>
              <w:rPr>
                <w:sz w:val="19"/>
              </w:rPr>
              <w:t xml:space="preserve">“Credit-scoring data”</w:t>
            </w:r>
            <w:r>
              <w:rPr>
                <w:sz w:val="19"/>
              </w:rPr>
              <w:t xml:space="preserve"> </w:t>
            </w:r>
            <w:r>
              <w:rPr>
                <w:sz w:val="19"/>
              </w:rPr>
              <w:t xml:space="preserve">(Davronov, 2021); reportado como proveniente de una fintech de Asia Central (Giang Thi Thu et al., 2024)</w:t>
            </w:r>
          </w:p>
        </w:tc>
        <w:tc>
          <w:tcPr>
            <w:tcW w:type="dxa" w:w="973"/>
          </w:tcPr>
          <w:p>
            <w:pPr>
              <w:pStyle w:val="Compact"/>
              <w:spacing w:after="40"/>
              <w:jc w:val="left"/>
            </w:pPr>
            <w:r>
              <w:rPr>
                <w:sz w:val="19"/>
              </w:rPr>
              <w:t xml:space="preserve">8 707 (+ 48 del archivo de prueba)</w:t>
            </w:r>
          </w:p>
        </w:tc>
        <w:tc>
          <w:tcPr>
            <w:tcW w:type="dxa" w:w="1685"/>
          </w:tcPr>
          <w:p>
            <w:pPr>
              <w:pStyle w:val="Compact"/>
              <w:spacing w:after="40"/>
              <w:jc w:val="left"/>
            </w:pPr>
            <w:r>
              <w:rPr>
                <w:rStyle w:val="VerbatimChar"/>
                <w:sz w:val="19"/>
              </w:rPr>
              <w:t xml:space="preserve">Sex</w:t>
            </w:r>
            <w:r>
              <w:rPr>
                <w:sz w:val="19"/>
              </w:rPr>
              <w:t xml:space="preserve"> </w:t>
            </w:r>
            <w:r>
              <w:rPr>
                <w:sz w:val="19"/>
              </w:rPr>
              <w:t xml:space="preserve">(grupos 1 y 2; codificación no documentada) y</w:t>
            </w:r>
            <w:r>
              <w:rPr>
                <w:sz w:val="19"/>
              </w:rPr>
              <w:t xml:space="preserve"> </w:t>
            </w:r>
            <w:r>
              <w:rPr>
                <w:rStyle w:val="VerbatimChar"/>
                <w:sz w:val="19"/>
              </w:rPr>
              <w:t xml:space="preserve">Age_group</w:t>
            </w:r>
            <w:r>
              <w:rPr>
                <w:sz w:val="19"/>
              </w:rPr>
              <w:t xml:space="preserve"> </w:t>
            </w:r>
            <w:r>
              <w:rPr>
                <w:sz w:val="19"/>
              </w:rPr>
              <w:t xml:space="preserve">(&lt;25: 7,5 %; ≥25: 92,5 %)</w:t>
            </w:r>
          </w:p>
        </w:tc>
        <w:tc>
          <w:tcPr>
            <w:tcW w:type="dxa" w:w="1226"/>
          </w:tcPr>
          <w:p>
            <w:pPr>
              <w:pStyle w:val="Compact"/>
              <w:spacing w:after="40"/>
              <w:jc w:val="left"/>
            </w:pPr>
            <w:r>
              <w:rPr>
                <w:rStyle w:val="VerbatimChar"/>
                <w:sz w:val="19"/>
              </w:rPr>
              <w:t xml:space="preserve">label</w:t>
            </w:r>
            <w:r>
              <w:rPr>
                <w:sz w:val="19"/>
              </w:rPr>
              <w:t xml:space="preserve"> </w:t>
            </w:r>
            <w:r>
              <w:rPr>
                <w:sz w:val="19"/>
              </w:rPr>
              <w:t xml:space="preserve">= 1 buen pagador (92,3 %), 0</w:t>
            </w:r>
            <w:r>
              <w:rPr>
                <w:sz w:val="19"/>
              </w:rPr>
              <w:t xml:space="preserve"> </w:t>
            </w:r>
            <w:r>
              <w:rPr>
                <w:i/>
                <w:iCs/>
                <w:sz w:val="19"/>
              </w:rPr>
              <w:t xml:space="preserve">default</w:t>
            </w:r>
            <w:r>
              <w:rPr>
                <w:sz w:val="19"/>
              </w:rPr>
              <w:t xml:space="preserve"> </w:t>
            </w:r>
            <w:r>
              <w:rPr>
                <w:sz w:val="19"/>
              </w:rPr>
              <w:t xml:space="preserve">(7,7 %)</w:t>
            </w:r>
          </w:p>
        </w:tc>
        <w:tc>
          <w:tcPr>
            <w:tcW w:type="dxa" w:w="1649"/>
          </w:tcPr>
          <w:p>
            <w:pPr>
              <w:pStyle w:val="Compact"/>
              <w:spacing w:after="40"/>
              <w:jc w:val="left"/>
            </w:pPr>
            <w:r>
              <w:rPr>
                <w:sz w:val="19"/>
              </w:rPr>
              <w:t xml:space="preserve">Zonas 1–3, Contratos C1–C4, escenarios E0–E5</w:t>
            </w:r>
          </w:p>
        </w:tc>
      </w:tr>
      <w:tr>
        <w:tc>
          <w:tcPr>
            <w:tcW w:type="dxa" w:w="1266"/>
          </w:tcPr>
          <w:p>
            <w:pPr>
              <w:pStyle w:val="Compact"/>
              <w:spacing w:after="40"/>
              <w:jc w:val="left"/>
            </w:pPr>
            <w:r>
              <w:rPr>
                <w:b/>
                <w:bCs/>
                <w:sz w:val="19"/>
              </w:rPr>
              <w:t xml:space="preserve">HMDA</w:t>
            </w:r>
            <w:r>
              <w:rPr>
                <w:sz w:val="19"/>
              </w:rPr>
              <w:t xml:space="preserve"> </w:t>
            </w:r>
            <w:r>
              <w:rPr>
                <w:sz w:val="19"/>
              </w:rPr>
              <w:t xml:space="preserve">(secundario)</w:t>
            </w:r>
          </w:p>
        </w:tc>
        <w:tc>
          <w:tcPr>
            <w:tcW w:type="dxa" w:w="2215"/>
          </w:tcPr>
          <w:p>
            <w:pPr>
              <w:pStyle w:val="Compact"/>
              <w:spacing w:after="40"/>
              <w:jc w:val="left"/>
            </w:pPr>
            <w:r>
              <w:rPr>
                <w:sz w:val="19"/>
              </w:rPr>
              <w:t xml:space="preserve">Datos públicos del registro de solicitudes hipotecarias de EE. UU. (Federal Financial Institutions Examination Council [FFIEC], s.f.)</w:t>
            </w:r>
          </w:p>
        </w:tc>
        <w:tc>
          <w:tcPr>
            <w:tcW w:type="dxa" w:w="973"/>
          </w:tcPr>
          <w:p>
            <w:pPr>
              <w:pStyle w:val="Compact"/>
              <w:spacing w:after="40"/>
              <w:jc w:val="left"/>
            </w:pPr>
            <w:r>
              <w:rPr>
                <w:sz w:val="19"/>
              </w:rPr>
              <w:t xml:space="preserve">Recorte de un estado y dos años</w:t>
            </w:r>
          </w:p>
        </w:tc>
        <w:tc>
          <w:tcPr>
            <w:tcW w:type="dxa" w:w="1685"/>
          </w:tcPr>
          <w:p>
            <w:pPr>
              <w:pStyle w:val="Compact"/>
              <w:spacing w:after="40"/>
              <w:jc w:val="left"/>
            </w:pPr>
            <w:r>
              <w:rPr>
                <w:sz w:val="19"/>
              </w:rPr>
              <w:t xml:space="preserve">Sexo, raza, etnia y edad, autodeclarados</w:t>
            </w:r>
          </w:p>
        </w:tc>
        <w:tc>
          <w:tcPr>
            <w:tcW w:type="dxa" w:w="1226"/>
          </w:tcPr>
          <w:p>
            <w:pPr>
              <w:pStyle w:val="Compact"/>
              <w:spacing w:after="40"/>
              <w:jc w:val="left"/>
            </w:pPr>
            <w:r>
              <w:rPr>
                <w:sz w:val="19"/>
              </w:rPr>
              <w:t xml:space="preserve">Decisión del prestamista (aprobado / denegado)</w:t>
            </w:r>
          </w:p>
        </w:tc>
        <w:tc>
          <w:tcPr>
            <w:tcW w:type="dxa" w:w="1649"/>
          </w:tcPr>
          <w:p>
            <w:pPr>
              <w:pStyle w:val="Compact"/>
              <w:spacing w:after="40"/>
              <w:jc w:val="left"/>
            </w:pPr>
            <w:r>
              <w:rPr>
                <w:sz w:val="19"/>
              </w:rPr>
              <w:t xml:space="preserve">Deriva real entre años (E6) y verificación de que el diseño no depende del dataset</w:t>
            </w:r>
          </w:p>
        </w:tc>
      </w:tr>
    </w:tbl>
    <w:p>
      <w:pPr>
        <w:pStyle w:val="BodyText"/>
        <w:keepNext w:val="0"/>
        <w:jc w:val="center"/>
      </w:pPr>
      <w:r>
        <w:rPr>
          <w:b/>
          <w:bCs/>
        </w:rPr>
        <w:t xml:space="preserve">Tabla 14: Casos de estudio y atributos protegidos</w:t>
      </w:r>
    </w:p>
    <w:bookmarkEnd w:id="92"/>
    <w:bookmarkStart w:id="93" w:name="verificación-de-existencia-1"/>
    <w:p>
      <w:pPr>
        <w:pStyle w:val="Heading3"/>
      </w:pPr>
      <w:r>
        <w:t xml:space="preserve">4.3.3. Verificación de existencia</w:t>
      </w:r>
    </w:p>
    <w:p>
      <w:pPr>
        <w:pStyle w:val="FirstParagraph"/>
      </w:pPr>
      <w:r>
        <w:t xml:space="preserve">La existencia de este resultado se verifica en la especificación técnica de los contratos: los archivos YAML de C1 a C4, el esquema de validación del motor de contratos y las firmas de las funciones de métricas. A continuación se muestra la instancia del Contrato C3 para el caso Davronov:</w:t>
      </w:r>
    </w:p>
    <w:p>
      <w:pPr>
        <w:pStyle w:val="SourceCode"/>
      </w:pPr>
      <w:r>
        <w:rPr>
          <w:rStyle w:val="FunctionTok"/>
        </w:rPr>
        <w:t xml:space="preserve">contract_id</w:t>
      </w:r>
      <w:r>
        <w:rPr>
          <w:rStyle w:val="KeywordTok"/>
        </w:rPr>
        <w:t xml:space="preserve">:</w:t>
      </w:r>
      <w:r>
        <w:rPr>
          <w:rStyle w:val="AttributeTok"/>
        </w:rPr>
        <w:t xml:space="preserve"> C3</w:t>
      </w:r>
      <w:r>
        <w:br/>
      </w:r>
      <w:r>
        <w:rPr>
          <w:rStyle w:val="FunctionTok"/>
        </w:rPr>
        <w:t xml:space="preserve">version</w:t>
      </w:r>
      <w:r>
        <w:rPr>
          <w:rStyle w:val="KeywordTok"/>
        </w:rPr>
        <w:t xml:space="preserve">:</w:t>
      </w:r>
      <w:r>
        <w:rPr>
          <w:rStyle w:val="AttributeTok"/>
        </w:rPr>
        <w:t xml:space="preserve"> </w:t>
      </w:r>
      <w:r>
        <w:rPr>
          <w:rStyle w:val="StringTok"/>
        </w:rPr>
        <w:t xml:space="preserve">"2.0"</w:t>
      </w:r>
      <w:r>
        <w:br/>
      </w:r>
      <w:r>
        <w:rPr>
          <w:rStyle w:val="FunctionTok"/>
        </w:rPr>
        <w:t xml:space="preserve">gate</w:t>
      </w:r>
      <w:r>
        <w:rPr>
          <w:rStyle w:val="KeywordTok"/>
        </w:rPr>
        <w:t xml:space="preserve">:</w:t>
      </w:r>
      <w:r>
        <w:rPr>
          <w:rStyle w:val="AttributeTok"/>
        </w:rPr>
        <w:t xml:space="preserve"> QA_GATE_3</w:t>
      </w:r>
      <w:r>
        <w:br/>
      </w:r>
      <w:r>
        <w:rPr>
          <w:rStyle w:val="FunctionTok"/>
        </w:rPr>
        <w:t xml:space="preserve">stage</w:t>
      </w:r>
      <w:r>
        <w:rPr>
          <w:rStyle w:val="KeywordTok"/>
        </w:rPr>
        <w:t xml:space="preserve">:</w:t>
      </w:r>
      <w:r>
        <w:rPr>
          <w:rStyle w:val="AttributeTok"/>
        </w:rPr>
        <w:t xml:space="preserve"> modelo_entrenado</w:t>
      </w:r>
      <w:r>
        <w:br/>
      </w:r>
      <w:r>
        <w:rPr>
          <w:rStyle w:val="FunctionTok"/>
        </w:rPr>
        <w:t xml:space="preserve">dataset</w:t>
      </w:r>
      <w:r>
        <w:rPr>
          <w:rStyle w:val="KeywordTok"/>
        </w:rPr>
        <w:t xml:space="preserve">:</w:t>
      </w:r>
      <w:r>
        <w:rPr>
          <w:rStyle w:val="AttributeTok"/>
        </w:rPr>
        <w:t xml:space="preserve"> davronov</w:t>
      </w:r>
      <w:r>
        <w:br/>
      </w:r>
      <w:r>
        <w:rPr>
          <w:rStyle w:val="FunctionTok"/>
        </w:rPr>
        <w:t xml:space="preserve">protected_attributes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Sex</w:t>
      </w:r>
      <w:r>
        <w:rPr>
          <w:rStyle w:val="KeywordTok"/>
        </w:rPr>
        <w:t xml:space="preserve">,</w:t>
      </w:r>
      <w:r>
        <w:rPr>
          <w:rStyle w:val="AttributeTok"/>
        </w:rPr>
        <w:t xml:space="preserve"> </w:t>
      </w:r>
      <w:r>
        <w:rPr>
          <w:rStyle w:val="FunctionTok"/>
        </w:rPr>
        <w:t xml:space="preserve">groups</w:t>
      </w:r>
      <w:r>
        <w:rPr>
          <w:rStyle w:val="KeywordTok"/>
        </w:rPr>
        <w:t xml:space="preserve">:</w:t>
      </w:r>
      <w:r>
        <w:rPr>
          <w:rStyle w:val="AttributeTok"/>
        </w:rPr>
        <w:t xml:space="preserve"> </w:t>
      </w:r>
      <w:r>
        <w:rPr>
          <w:rStyle w:val="KeywordTok"/>
        </w:rPr>
        <w:t xml:space="preserve">[</w:t>
      </w:r>
      <w:r>
        <w:rPr>
          <w:rStyle w:val="DecValTok"/>
        </w:rPr>
        <w:t xml:space="preserve">1</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unprivileged</w:t>
      </w:r>
      <w:r>
        <w:rPr>
          <w:rStyle w:val="KeywordTok"/>
        </w:rPr>
        <w:t xml:space="preserve">:</w:t>
      </w:r>
      <w:r>
        <w:rPr>
          <w:rStyle w:val="AttributeTok"/>
        </w:rPr>
        <w:t xml:space="preserve"> </w:t>
      </w:r>
      <w:r>
        <w:rPr>
          <w:rStyle w:val="CharTok"/>
        </w:rPr>
        <w:t xml:space="preserve">null</w:t>
      </w:r>
      <w:r>
        <w:rPr>
          <w:rStyle w:val="KeywordTok"/>
        </w:rPr>
        <w:t xml:space="preserve">}</w:t>
      </w:r>
      <w:r>
        <w:rPr>
          <w:rStyle w:val="CommentTok"/>
        </w:rPr>
        <w:t xml:space="preserve">        # codificación no documentada: métricas simétricas</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Age_group</w:t>
      </w:r>
      <w:r>
        <w:rPr>
          <w:rStyle w:val="KeywordTok"/>
        </w:rPr>
        <w:t xml:space="preserve">,</w:t>
      </w:r>
      <w:r>
        <w:rPr>
          <w:rStyle w:val="AttributeTok"/>
        </w:rPr>
        <w:t xml:space="preserve"> </w:t>
      </w:r>
      <w:r>
        <w:rPr>
          <w:rStyle w:val="FunctionTok"/>
        </w:rPr>
        <w:t xml:space="preserve">groups</w:t>
      </w:r>
      <w:r>
        <w:rPr>
          <w:rStyle w:val="KeywordTok"/>
        </w:rPr>
        <w:t xml:space="preserve">:</w:t>
      </w:r>
      <w:r>
        <w:rPr>
          <w:rStyle w:val="AttributeTok"/>
        </w:rPr>
        <w:t xml:space="preserve"> </w:t>
      </w:r>
      <w:r>
        <w:rPr>
          <w:rStyle w:val="KeywordTok"/>
        </w:rPr>
        <w:t xml:space="preserve">[</w:t>
      </w:r>
      <w:r>
        <w:rPr>
          <w:rStyle w:val="StringTok"/>
        </w:rPr>
        <w:t xml:space="preserve">"&lt;25"</w:t>
      </w:r>
      <w:r>
        <w:rPr>
          <w:rStyle w:val="KeywordTok"/>
        </w:rPr>
        <w:t xml:space="preserve">,</w:t>
      </w:r>
      <w:r>
        <w:rPr>
          <w:rStyle w:val="AttributeTok"/>
        </w:rPr>
        <w:t xml:space="preserve"> </w:t>
      </w:r>
      <w:r>
        <w:rPr>
          <w:rStyle w:val="StringTok"/>
        </w:rPr>
        <w:t xml:space="preserve">"&gt;=25"</w:t>
      </w:r>
      <w:r>
        <w:rPr>
          <w:rStyle w:val="KeywordTok"/>
        </w:rPr>
        <w:t xml:space="preserve">],</w:t>
      </w:r>
      <w:r>
        <w:rPr>
          <w:rStyle w:val="AttributeTok"/>
        </w:rPr>
        <w:t xml:space="preserve"> </w:t>
      </w:r>
      <w:r>
        <w:rPr>
          <w:rStyle w:val="FunctionTok"/>
        </w:rPr>
        <w:t xml:space="preserve">unprivileged</w:t>
      </w:r>
      <w:r>
        <w:rPr>
          <w:rStyle w:val="KeywordTok"/>
        </w:rPr>
        <w:t xml:space="preserve">:</w:t>
      </w:r>
      <w:r>
        <w:rPr>
          <w:rStyle w:val="AttributeTok"/>
        </w:rPr>
        <w:t xml:space="preserve"> </w:t>
      </w:r>
      <w:r>
        <w:rPr>
          <w:rStyle w:val="StringTok"/>
        </w:rPr>
        <w:t xml:space="preserve">"&lt;25"</w:t>
      </w:r>
      <w:r>
        <w:rPr>
          <w:rStyle w:val="KeywordTok"/>
        </w:rPr>
        <w:t xml:space="preserve">}</w:t>
      </w:r>
      <w:r>
        <w:br/>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id</w:t>
      </w:r>
      <w:r>
        <w:rPr>
          <w:rStyle w:val="KeywordTok"/>
        </w:rPr>
        <w:t xml:space="preserve">:</w:t>
      </w:r>
      <w:r>
        <w:rPr>
          <w:rStyle w:val="AttributeTok"/>
        </w:rPr>
        <w:t xml:space="preserve"> C3-SPD</w:t>
      </w:r>
      <w:r>
        <w:rPr>
          <w:rStyle w:val="KeywordTok"/>
        </w:rPr>
        <w:t xml:space="preserve">,</w:t>
      </w:r>
      <w:r>
        <w:rPr>
          <w:rStyle w:val="AttributeTok"/>
        </w:rPr>
        <w:t xml:space="preserve"> </w:t>
      </w:r>
      <w:r>
        <w:rPr>
          <w:rStyle w:val="FunctionTok"/>
        </w:rPr>
        <w:t xml:space="preserve">metric</w:t>
      </w:r>
      <w:r>
        <w:rPr>
          <w:rStyle w:val="KeywordTok"/>
        </w:rPr>
        <w:t xml:space="preserve">:</w:t>
      </w:r>
      <w:r>
        <w:rPr>
          <w:rStyle w:val="AttributeTok"/>
        </w:rPr>
        <w:t xml:space="preserve"> spd</w:t>
      </w:r>
      <w:r>
        <w:rPr>
          <w:rStyle w:val="KeywordTok"/>
        </w:rPr>
        <w:t xml:space="preserve">,</w:t>
      </w:r>
      <w:r>
        <w:rPr>
          <w:rStyle w:val="AttributeTok"/>
        </w:rPr>
        <w:t xml:space="preserve"> </w:t>
      </w:r>
      <w:r>
        <w:rPr>
          <w:rStyle w:val="FunctionTok"/>
        </w:rPr>
        <w:t xml:space="preserve">operator</w:t>
      </w:r>
      <w:r>
        <w:rPr>
          <w:rStyle w:val="KeywordTok"/>
        </w:rPr>
        <w:t xml:space="preserve">:</w:t>
      </w:r>
      <w:r>
        <w:rPr>
          <w:rStyle w:val="AttributeTok"/>
        </w:rPr>
        <w:t xml:space="preserve"> le</w:t>
      </w:r>
      <w:r>
        <w:rPr>
          <w:rStyle w:val="KeywordTok"/>
        </w:rPr>
        <w:t xml:space="preserve">,</w:t>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FloatTok"/>
        </w:rPr>
        <w:t xml:space="preserve">0.10</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block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id</w:t>
      </w:r>
      <w:r>
        <w:rPr>
          <w:rStyle w:val="KeywordTok"/>
        </w:rPr>
        <w:t xml:space="preserve">:</w:t>
      </w:r>
      <w:r>
        <w:rPr>
          <w:rStyle w:val="AttributeTok"/>
        </w:rPr>
        <w:t xml:space="preserve"> C3-EOD</w:t>
      </w:r>
      <w:r>
        <w:rPr>
          <w:rStyle w:val="KeywordTok"/>
        </w:rPr>
        <w:t xml:space="preserve">,</w:t>
      </w:r>
      <w:r>
        <w:rPr>
          <w:rStyle w:val="AttributeTok"/>
        </w:rPr>
        <w:t xml:space="preserve"> </w:t>
      </w:r>
      <w:r>
        <w:rPr>
          <w:rStyle w:val="FunctionTok"/>
        </w:rPr>
        <w:t xml:space="preserve">metric</w:t>
      </w:r>
      <w:r>
        <w:rPr>
          <w:rStyle w:val="KeywordTok"/>
        </w:rPr>
        <w:t xml:space="preserve">:</w:t>
      </w:r>
      <w:r>
        <w:rPr>
          <w:rStyle w:val="AttributeTok"/>
        </w:rPr>
        <w:t xml:space="preserve"> eod</w:t>
      </w:r>
      <w:r>
        <w:rPr>
          <w:rStyle w:val="KeywordTok"/>
        </w:rPr>
        <w:t xml:space="preserve">,</w:t>
      </w:r>
      <w:r>
        <w:rPr>
          <w:rStyle w:val="AttributeTok"/>
        </w:rPr>
        <w:t xml:space="preserve"> </w:t>
      </w:r>
      <w:r>
        <w:rPr>
          <w:rStyle w:val="FunctionTok"/>
        </w:rPr>
        <w:t xml:space="preserve">operator</w:t>
      </w:r>
      <w:r>
        <w:rPr>
          <w:rStyle w:val="KeywordTok"/>
        </w:rPr>
        <w:t xml:space="preserve">:</w:t>
      </w:r>
      <w:r>
        <w:rPr>
          <w:rStyle w:val="AttributeTok"/>
        </w:rPr>
        <w:t xml:space="preserve"> le</w:t>
      </w:r>
      <w:r>
        <w:rPr>
          <w:rStyle w:val="KeywordTok"/>
        </w:rPr>
        <w:t xml:space="preserve">,</w:t>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FloatTok"/>
        </w:rPr>
        <w:t xml:space="preserve">0.10</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block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id</w:t>
      </w:r>
      <w:r>
        <w:rPr>
          <w:rStyle w:val="KeywordTok"/>
        </w:rPr>
        <w:t xml:space="preserve">:</w:t>
      </w:r>
      <w:r>
        <w:rPr>
          <w:rStyle w:val="AttributeTok"/>
        </w:rPr>
        <w:t xml:space="preserve"> C3-DI</w:t>
      </w:r>
      <w:r>
        <w:rPr>
          <w:rStyle w:val="KeywordTok"/>
        </w:rPr>
        <w:t xml:space="preserve">,</w:t>
      </w:r>
      <w:r>
        <w:rPr>
          <w:rStyle w:val="AttributeTok"/>
        </w:rPr>
        <w:t xml:space="preserve">  </w:t>
      </w:r>
      <w:r>
        <w:rPr>
          <w:rStyle w:val="FunctionTok"/>
        </w:rPr>
        <w:t xml:space="preserve">metric</w:t>
      </w:r>
      <w:r>
        <w:rPr>
          <w:rStyle w:val="KeywordTok"/>
        </w:rPr>
        <w:t xml:space="preserve">:</w:t>
      </w:r>
      <w:r>
        <w:rPr>
          <w:rStyle w:val="AttributeTok"/>
        </w:rPr>
        <w:t xml:space="preserve"> di</w:t>
      </w:r>
      <w:r>
        <w:rPr>
          <w:rStyle w:val="KeywordTok"/>
        </w:rPr>
        <w:t xml:space="preserve">,</w:t>
      </w:r>
      <w:r>
        <w:rPr>
          <w:rStyle w:val="AttributeTok"/>
        </w:rPr>
        <w:t xml:space="preserve">  </w:t>
      </w:r>
      <w:r>
        <w:rPr>
          <w:rStyle w:val="FunctionTok"/>
        </w:rPr>
        <w:t xml:space="preserve">operator</w:t>
      </w:r>
      <w:r>
        <w:rPr>
          <w:rStyle w:val="KeywordTok"/>
        </w:rPr>
        <w:t xml:space="preserve">:</w:t>
      </w:r>
      <w:r>
        <w:rPr>
          <w:rStyle w:val="AttributeTok"/>
        </w:rPr>
        <w:t xml:space="preserve"> ge</w:t>
      </w:r>
      <w:r>
        <w:rPr>
          <w:rStyle w:val="KeywordTok"/>
        </w:rPr>
        <w:t xml:space="preserve">,</w:t>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FloatTok"/>
        </w:rPr>
        <w:t xml:space="preserve">0.80</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block</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id</w:t>
      </w:r>
      <w:r>
        <w:rPr>
          <w:rStyle w:val="KeywordTok"/>
        </w:rPr>
        <w:t xml:space="preserve">:</w:t>
      </w:r>
      <w:r>
        <w:rPr>
          <w:rStyle w:val="AttributeTok"/>
        </w:rPr>
        <w:t xml:space="preserve"> C3-ACC</w:t>
      </w:r>
      <w:r>
        <w:rPr>
          <w:rStyle w:val="KeywordTok"/>
        </w:rPr>
        <w:t xml:space="preserve">,</w:t>
      </w:r>
      <w:r>
        <w:rPr>
          <w:rStyle w:val="AttributeTok"/>
        </w:rPr>
        <w:t xml:space="preserve"> </w:t>
      </w:r>
      <w:r>
        <w:rPr>
          <w:rStyle w:val="FunctionTok"/>
        </w:rPr>
        <w:t xml:space="preserve">metric</w:t>
      </w:r>
      <w:r>
        <w:rPr>
          <w:rStyle w:val="KeywordTok"/>
        </w:rPr>
        <w:t xml:space="preserve">:</w:t>
      </w:r>
      <w:r>
        <w:rPr>
          <w:rStyle w:val="AttributeTok"/>
        </w:rPr>
        <w:t xml:space="preserve"> balanced_accuracy_drop</w:t>
      </w:r>
      <w:r>
        <w:rPr>
          <w:rStyle w:val="KeywordTok"/>
        </w:rPr>
        <w:t xml:space="preserve">,</w:t>
      </w:r>
      <w:r>
        <w:rPr>
          <w:rStyle w:val="AttributeTok"/>
        </w:rPr>
        <w:t xml:space="preserve"> </w:t>
      </w:r>
      <w:r>
        <w:rPr>
          <w:rStyle w:val="FunctionTok"/>
        </w:rPr>
        <w:t xml:space="preserve">operator</w:t>
      </w:r>
      <w:r>
        <w:rPr>
          <w:rStyle w:val="KeywordTok"/>
        </w:rPr>
        <w:t xml:space="preserve">:</w:t>
      </w:r>
      <w:r>
        <w:rPr>
          <w:rStyle w:val="AttributeTok"/>
        </w:rPr>
        <w:t xml:space="preserve"> le</w:t>
      </w:r>
      <w:r>
        <w:rPr>
          <w:rStyle w:val="KeywordTok"/>
        </w:rPr>
        <w:t xml:space="preserve">,</w:t>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FloatTok"/>
        </w:rPr>
        <w:t xml:space="preserve">0.05</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warn</w:t>
      </w:r>
      <w:r>
        <w:rPr>
          <w:rStyle w:val="KeywordTok"/>
        </w:rPr>
        <w:t xml:space="preserve">}</w:t>
      </w:r>
      <w:r>
        <w:br/>
      </w:r>
      <w:r>
        <w:rPr>
          <w:rStyle w:val="FunctionTok"/>
        </w:rPr>
        <w:t xml:space="preserve">statistics</w:t>
      </w:r>
      <w:r>
        <w:rPr>
          <w:rStyle w:val="KeywordTok"/>
        </w:rPr>
        <w:t xml:space="preserve">:</w:t>
      </w:r>
      <w:r>
        <w:rPr>
          <w:rStyle w:val="AttributeTok"/>
        </w:rPr>
        <w:t xml:space="preserve"> </w:t>
      </w:r>
      <w:r>
        <w:rPr>
          <w:rStyle w:val="KeywordTok"/>
        </w:rPr>
        <w:t xml:space="preserve">{</w:t>
      </w:r>
      <w:r>
        <w:rPr>
          <w:rStyle w:val="FunctionTok"/>
        </w:rPr>
        <w:t xml:space="preserve">method</w:t>
      </w:r>
      <w:r>
        <w:rPr>
          <w:rStyle w:val="KeywordTok"/>
        </w:rPr>
        <w:t xml:space="preserve">:</w:t>
      </w:r>
      <w:r>
        <w:rPr>
          <w:rStyle w:val="AttributeTok"/>
        </w:rPr>
        <w:t xml:space="preserve"> bootstrap</w:t>
      </w:r>
      <w:r>
        <w:rPr>
          <w:rStyle w:val="KeywordTok"/>
        </w:rPr>
        <w:t xml:space="preserve">,</w:t>
      </w:r>
      <w:r>
        <w:rPr>
          <w:rStyle w:val="AttributeTok"/>
        </w:rPr>
        <w:t xml:space="preserve"> </w:t>
      </w:r>
      <w:r>
        <w:rPr>
          <w:rStyle w:val="FunctionTok"/>
        </w:rPr>
        <w:t xml:space="preserve">n_resamples</w:t>
      </w:r>
      <w:r>
        <w:rPr>
          <w:rStyle w:val="KeywordTok"/>
        </w:rPr>
        <w:t xml:space="preserve">:</w:t>
      </w:r>
      <w:r>
        <w:rPr>
          <w:rStyle w:val="AttributeTok"/>
        </w:rPr>
        <w:t xml:space="preserve"> </w:t>
      </w:r>
      <w:r>
        <w:rPr>
          <w:rStyle w:val="DecValTok"/>
        </w:rPr>
        <w:t xml:space="preserve">500</w:t>
      </w:r>
      <w:r>
        <w:rPr>
          <w:rStyle w:val="KeywordTok"/>
        </w:rPr>
        <w:t xml:space="preserve">,</w:t>
      </w:r>
      <w:r>
        <w:rPr>
          <w:rStyle w:val="AttributeTok"/>
        </w:rPr>
        <w:t xml:space="preserve"> </w:t>
      </w:r>
      <w:r>
        <w:rPr>
          <w:rStyle w:val="FunctionTok"/>
        </w:rPr>
        <w:t xml:space="preserve">confidence</w:t>
      </w:r>
      <w:r>
        <w:rPr>
          <w:rStyle w:val="KeywordTok"/>
        </w:rPr>
        <w:t xml:space="preserve">:</w:t>
      </w:r>
      <w:r>
        <w:rPr>
          <w:rStyle w:val="AttributeTok"/>
        </w:rPr>
        <w:t xml:space="preserve"> </w:t>
      </w:r>
      <w:r>
        <w:rPr>
          <w:rStyle w:val="FloatTok"/>
        </w:rPr>
        <w:t xml:space="preserve">0.95</w:t>
      </w:r>
      <w:r>
        <w:rPr>
          <w:rStyle w:val="KeywordTok"/>
        </w:rPr>
        <w:t xml:space="preserve">,</w:t>
      </w:r>
      <w:r>
        <w:rPr>
          <w:rStyle w:val="AttributeTok"/>
        </w:rPr>
        <w:t xml:space="preserve"> </w:t>
      </w:r>
      <w:r>
        <w:rPr>
          <w:rStyle w:val="FunctionTok"/>
        </w:rPr>
        <w:t xml:space="preserve">decide_on</w:t>
      </w:r>
      <w:r>
        <w:rPr>
          <w:rStyle w:val="KeywordTok"/>
        </w:rPr>
        <w:t xml:space="preserve">:</w:t>
      </w:r>
      <w:r>
        <w:rPr>
          <w:rStyle w:val="AttributeTok"/>
        </w:rPr>
        <w:t xml:space="preserve"> worst_bound</w:t>
      </w:r>
      <w:r>
        <w:rPr>
          <w:rStyle w:val="KeywordTok"/>
        </w:rPr>
        <w:t xml:space="preserve">}</w:t>
      </w:r>
      <w:r>
        <w:br/>
      </w:r>
      <w:r>
        <w:rPr>
          <w:rStyle w:val="FunctionTok"/>
        </w:rPr>
        <w:t xml:space="preserve">remediation</w:t>
      </w:r>
      <w:r>
        <w:rPr>
          <w:rStyle w:val="KeywordTok"/>
        </w:rPr>
        <w:t xml:space="preserve">:</w:t>
      </w:r>
      <w:r>
        <w:rPr>
          <w:rStyle w:val="AttributeTok"/>
        </w:rPr>
        <w:t xml:space="preserve"> </w:t>
      </w:r>
      <w:r>
        <w:rPr>
          <w:rStyle w:val="KeywordTok"/>
        </w:rPr>
        <w:t xml:space="preserve">{</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method</w:t>
      </w:r>
      <w:r>
        <w:rPr>
          <w:rStyle w:val="KeywordTok"/>
        </w:rPr>
        <w:t xml:space="preserve">:</w:t>
      </w:r>
      <w:r>
        <w:rPr>
          <w:rStyle w:val="AttributeTok"/>
        </w:rPr>
        <w:t xml:space="preserve"> threshold_optimizer</w:t>
      </w:r>
      <w:r>
        <w:rPr>
          <w:rStyle w:val="KeywordTok"/>
        </w:rPr>
        <w:t xml:space="preserve">,</w:t>
      </w:r>
      <w:r>
        <w:rPr>
          <w:rStyle w:val="AttributeTok"/>
        </w:rPr>
        <w:t xml:space="preserve"> </w:t>
      </w:r>
      <w:r>
        <w:rPr>
          <w:rStyle w:val="FunctionTok"/>
        </w:rPr>
        <w:t xml:space="preserve">constraint</w:t>
      </w:r>
      <w:r>
        <w:rPr>
          <w:rStyle w:val="KeywordTok"/>
        </w:rPr>
        <w:t xml:space="preserve">:</w:t>
      </w:r>
      <w:r>
        <w:rPr>
          <w:rStyle w:val="AttributeTok"/>
        </w:rPr>
        <w:t xml:space="preserve"> equalized_odds</w:t>
      </w:r>
      <w:r>
        <w:rPr>
          <w:rStyle w:val="KeywordTok"/>
        </w:rPr>
        <w:t xml:space="preserve">}</w:t>
      </w:r>
      <w:r>
        <w:br/>
      </w:r>
      <w:r>
        <w:rPr>
          <w:rStyle w:val="FunctionTok"/>
        </w:rPr>
        <w:t xml:space="preserve">tooling</w:t>
      </w:r>
      <w:r>
        <w:rPr>
          <w:rStyle w:val="KeywordTok"/>
        </w:rPr>
        <w:t xml:space="preserve">:</w:t>
      </w:r>
      <w:r>
        <w:rPr>
          <w:rStyle w:val="AttributeTok"/>
        </w:rPr>
        <w:t xml:space="preserve"> fairlearn</w:t>
      </w:r>
    </w:p>
    <w:p>
      <w:pPr>
        <w:pStyle w:val="FirstParagraph"/>
      </w:pPr>
      <w:r>
        <w:t xml:space="preserve">El diseño se contrastó con el caso Davronov. En la etiqueta real, la proporción de buenos pagadores es de 94,1 % en el grupo 1 de</w:t>
      </w:r>
      <w:r>
        <w:t xml:space="preserve"> </w:t>
      </w:r>
      <w:r>
        <w:rPr>
          <w:rStyle w:val="VerbatimChar"/>
        </w:rPr>
        <w:t xml:space="preserve">Sex</w:t>
      </w:r>
      <w:r>
        <w:t xml:space="preserve"> </w:t>
      </w:r>
      <w:r>
        <w:t xml:space="preserve">y de 91,2 % en el grupo 2 (diferencia de 2,9 puntos porcentuales), y de 84,0 % en menores de 25 años frente a 93,0 % en el resto (diferencia de 9,0 puntos). Además, el cruce entre</w:t>
      </w:r>
      <w:r>
        <w:t xml:space="preserve"> </w:t>
      </w:r>
      <w:r>
        <w:rPr>
          <w:rStyle w:val="VerbatimChar"/>
        </w:rPr>
        <w:t xml:space="preserve">Marital</w:t>
      </w:r>
      <w:r>
        <w:t xml:space="preserve"> </w:t>
      </w:r>
      <w:r>
        <w:t xml:space="preserve">y</w:t>
      </w:r>
      <w:r>
        <w:t xml:space="preserve"> </w:t>
      </w:r>
      <w:r>
        <w:rPr>
          <w:rStyle w:val="VerbatimChar"/>
        </w:rPr>
        <w:t xml:space="preserve">Sex</w:t>
      </w:r>
      <w:r>
        <w:t xml:space="preserve"> </w:t>
      </w:r>
      <w:r>
        <w:t xml:space="preserve">muestra que 6 de las 7 categorías de estado civil corresponden en su totalidad a un solo grupo de</w:t>
      </w:r>
      <w:r>
        <w:t xml:space="preserve"> </w:t>
      </w:r>
      <w:r>
        <w:rPr>
          <w:rStyle w:val="VerbatimChar"/>
        </w:rPr>
        <w:t xml:space="preserve">Sex</w:t>
      </w:r>
      <w:r>
        <w:t xml:space="preserve">, lo que convierte a</w:t>
      </w:r>
      <w:r>
        <w:t xml:space="preserve"> </w:t>
      </w:r>
      <w:r>
        <w:rPr>
          <w:rStyle w:val="VerbatimChar"/>
        </w:rPr>
        <w:t xml:space="preserve">Marital</w:t>
      </w:r>
      <w:r>
        <w:t xml:space="preserve"> </w:t>
      </w:r>
      <w:r>
        <w:t xml:space="preserve">en un sustituto casi perfecto del atributo protegido: es precisamente el tipo de discriminación por proxy descrito en la Sección 2.1.2 y el caso que el Contrato C2 debe detectar.</w:t>
      </w:r>
    </w:p>
    <w:bookmarkEnd w:id="93"/>
    <w:bookmarkStart w:id="94" w:name="mediciones-y-validación-del-indicador-1"/>
    <w:p>
      <w:pPr>
        <w:pStyle w:val="Heading3"/>
      </w:pPr>
      <w:r>
        <w:t xml:space="preserve">4.3.4. Mediciones y validación del indicador</w:t>
      </w:r>
    </w:p>
    <w:p>
      <w:pPr>
        <w:pStyle w:val="FirstParagraph"/>
      </w:pPr>
      <w:r>
        <w:t xml:space="preserve">El cumplimiento del R.E.2.2 se valida con su indicador del Capítulo 1 (Tabla 2):</w:t>
      </w:r>
      <w:r>
        <w:t xml:space="preserve"> </w:t>
      </w:r>
      <w:r>
        <w:rPr>
          <w:i/>
          <w:iCs/>
        </w:rPr>
        <w:t xml:space="preserve">“Formulación matemática explícita de las reglas, aserciones y umbrales tolerables de equidad e integridad de datos para las compuertas de calidad (QA Gates) del pipeline”</w:t>
      </w:r>
      <w:r>
        <w:t xml:space="preserve">.</w:t>
      </w:r>
    </w:p>
    <w:p>
      <w:pPr>
        <w:pStyle w:val="BodyText"/>
      </w:pPr>
      <w:r>
        <w:t xml:space="preserve">La especificación cumple con este indicador al formular matemáticamente los siguientes contratos. En lo que sigue, para cada atributo protegido Zⱼ con grupos g ∈ Gⱼ,</w:t>
      </w:r>
      <w:r>
        <w:t xml:space="preserve"> </w:t>
      </w:r>
      <m:oMath>
        <m:r>
          <m:t>D</m:t>
        </m:r>
      </m:oMath>
      <w:r>
        <w:t xml:space="preserve"> </w:t>
      </w:r>
      <w:r>
        <w:t xml:space="preserve">denota el lote evaluado.</w:t>
      </w:r>
    </w:p>
    <w:p>
      <w:pPr>
        <w:pStyle w:val="BodyText"/>
      </w:pPr>
      <w:r>
        <w:rPr>
          <w:b/>
          <w:bCs/>
        </w:rPr>
        <w:t xml:space="preserve">Contrato C1: QA Gate 1 (Integridad y representatividad de los datos crudos)</w:t>
      </w:r>
    </w:p>
    <w:p>
      <w:pPr>
        <w:numPr>
          <w:ilvl w:val="0"/>
          <w:numId w:val="1034"/>
        </w:numPr>
      </w:pPr>
      <w:r>
        <w:rPr>
          <w:b/>
          <w:bCs/>
        </w:rPr>
        <w:t xml:space="preserve">Naturaleza:</w:t>
      </w:r>
      <w:r>
        <w:t xml:space="preserve"> </w:t>
      </w:r>
      <w:r>
        <w:t xml:space="preserve">precondición de datos.</w:t>
      </w:r>
    </w:p>
    <w:p>
      <w:pPr>
        <w:numPr>
          <w:ilvl w:val="0"/>
          <w:numId w:val="1034"/>
        </w:numPr>
      </w:pPr>
      <w:r>
        <w:rPr>
          <w:b/>
          <w:bCs/>
        </w:rPr>
        <w:t xml:space="preserve">Integridad:</w:t>
      </w:r>
      <w:r>
        <w:t xml:space="preserve"> </w:t>
      </w:r>
      <w:r>
        <w:t xml:space="preserve">cada columna declarada cumple su tipo, rango y valores permitidos; ninguna columna excede la proporción máxima de nulos, y el lote no excede la proporción máxima de duplicados:</w:t>
      </w:r>
    </w:p>
    <w:p>
      <w:pPr>
        <w:pStyle w:val="BodyText"/>
      </w:pPr>
      <m:oMathPara>
        <m:oMathParaPr>
          <m:jc m:val="center"/>
        </m:oMathParaPr>
        <m:oMath>
          <m:r>
            <m:rPr>
              <m:sty m:val="p"/>
            </m:rPr>
            <m:t>∀</m:t>
          </m:r>
          <m:r>
            <m:t>c</m:t>
          </m:r>
          <m:r>
            <m:rPr>
              <m:sty m:val="p"/>
            </m:rPr>
            <m:t>∈</m:t>
          </m:r>
          <m:r>
            <m:t>C</m:t>
          </m:r>
          <m:r>
            <m:t>o</m:t>
          </m:r>
          <m:r>
            <m:t>l</m:t>
          </m:r>
          <m:r>
            <m:t>u</m:t>
          </m:r>
          <m:r>
            <m:t>m</m:t>
          </m:r>
          <m:r>
            <m:t>n</m:t>
          </m:r>
          <m:r>
            <m:t>a</m:t>
          </m:r>
          <m:r>
            <m:t>s</m:t>
          </m:r>
          <m:r>
            <m:rPr>
              <m:sty m:val="p"/>
            </m:rPr>
            <m:t>(</m:t>
          </m:r>
          <m:r>
            <m:t>D</m:t>
          </m:r>
          <m:r>
            <m:rPr>
              <m:sty m:val="p"/>
            </m:rPr>
            <m:t>)</m:t>
          </m:r>
          <m:r>
            <m:rPr>
              <m:sty m:val="p"/>
            </m:rPr>
            <m:t>:</m:t>
          </m:r>
          <m:r>
            <m:t> </m:t>
          </m:r>
          <m:r>
            <m:t>T</m:t>
          </m:r>
          <m:r>
            <m:t>i</m:t>
          </m:r>
          <m:r>
            <m:t>p</m:t>
          </m:r>
          <m:r>
            <m:t>o</m:t>
          </m:r>
          <m:r>
            <m:rPr>
              <m:sty m:val="p"/>
            </m:rPr>
            <m:t>(</m:t>
          </m:r>
          <m:r>
            <m:t>c</m:t>
          </m:r>
          <m:r>
            <m:rPr>
              <m:sty m:val="p"/>
            </m:rPr>
            <m:t>)</m:t>
          </m:r>
          <m:r>
            <m:rPr>
              <m:sty m:val="p"/>
            </m:rPr>
            <m:t>∈</m:t>
          </m:r>
          <m:sSub>
            <m:e>
              <m:r>
                <m:rPr>
                  <m:sty m:val="p"/>
                </m:rPr>
                <m:t>⊤</m:t>
              </m:r>
            </m:e>
            <m:sub>
              <m:r>
                <m:t>p</m:t>
              </m:r>
              <m:r>
                <m:t>e</m:t>
              </m:r>
              <m:r>
                <m:t>r</m:t>
              </m:r>
              <m:r>
                <m:t>m</m:t>
              </m:r>
              <m:r>
                <m:t>i</m:t>
              </m:r>
              <m:r>
                <m:t>t</m:t>
              </m:r>
              <m:r>
                <m:t>i</m:t>
              </m:r>
              <m:r>
                <m:t>d</m:t>
              </m:r>
              <m:r>
                <m:t>o</m:t>
              </m:r>
              <m:r>
                <m:t>s</m:t>
              </m:r>
            </m:sub>
          </m:sSub>
          <m:r>
            <m:t> </m:t>
          </m:r>
          <m:r>
            <m:rPr>
              <m:sty m:val="p"/>
            </m:rPr>
            <m:t>∧</m:t>
          </m:r>
          <m:r>
            <m:t> </m:t>
          </m:r>
          <m:f>
            <m:fPr>
              <m:type m:val="bar"/>
            </m:fPr>
            <m:num>
              <m:r>
                <m:t>N</m:t>
              </m:r>
              <m:r>
                <m:t>u</m:t>
              </m:r>
              <m:r>
                <m:t>l</m:t>
              </m:r>
              <m:r>
                <m:t>o</m:t>
              </m:r>
              <m:r>
                <m:t>s</m:t>
              </m:r>
              <m:r>
                <m:rPr>
                  <m:sty m:val="p"/>
                </m:rPr>
                <m:t>(</m:t>
              </m:r>
              <m:r>
                <m:t>c</m:t>
              </m:r>
              <m:r>
                <m:rPr>
                  <m:sty m:val="p"/>
                </m:rPr>
                <m:t>)</m:t>
              </m:r>
            </m:num>
            <m:den>
              <m:r>
                <m:rPr>
                  <m:sty m:val="p"/>
                </m:rPr>
                <m:t>|</m:t>
              </m:r>
              <m:r>
                <m:t>D</m:t>
              </m:r>
              <m:r>
                <m:rPr>
                  <m:sty m:val="p"/>
                </m:rPr>
                <m:t>|</m:t>
              </m:r>
            </m:den>
          </m:f>
          <m:r>
            <m:rPr>
              <m:sty m:val="p"/>
            </m:rPr>
            <m:t>≤</m:t>
          </m:r>
          <m:r>
            <m:t>0.05</m:t>
          </m:r>
          <m:r>
            <m:rPr>
              <m:sty m:val="p"/>
            </m:rPr>
            <m:t>,</m:t>
          </m:r>
          <m:r>
            <m:t>  </m:t>
          </m:r>
          <m:f>
            <m:fPr>
              <m:type m:val="bar"/>
            </m:fPr>
            <m:num>
              <m:r>
                <m:t>D</m:t>
              </m:r>
              <m:r>
                <m:t>u</m:t>
              </m:r>
              <m:r>
                <m:t>p</m:t>
              </m:r>
              <m:r>
                <m:t>l</m:t>
              </m:r>
              <m:r>
                <m:t>i</m:t>
              </m:r>
              <m:r>
                <m:t>c</m:t>
              </m:r>
              <m:r>
                <m:t>a</m:t>
              </m:r>
              <m:r>
                <m:t>d</m:t>
              </m:r>
              <m:r>
                <m:t>o</m:t>
              </m:r>
              <m:r>
                <m:t>s</m:t>
              </m:r>
              <m:r>
                <m:rPr>
                  <m:sty m:val="p"/>
                </m:rPr>
                <m:t>(</m:t>
              </m:r>
              <m:r>
                <m:t>D</m:t>
              </m:r>
              <m:r>
                <m:rPr>
                  <m:sty m:val="p"/>
                </m:rPr>
                <m:t>)</m:t>
              </m:r>
            </m:num>
            <m:den>
              <m:r>
                <m:rPr>
                  <m:sty m:val="p"/>
                </m:rPr>
                <m:t>|</m:t>
              </m:r>
              <m:r>
                <m:t>D</m:t>
              </m:r>
              <m:r>
                <m:rPr>
                  <m:sty m:val="p"/>
                </m:rPr>
                <m:t>|</m:t>
              </m:r>
            </m:den>
          </m:f>
          <m:r>
            <m:rPr>
              <m:sty m:val="p"/>
            </m:rPr>
            <m:t>≤</m:t>
          </m:r>
          <m:r>
            <m:t>0.01</m:t>
          </m:r>
        </m:oMath>
      </m:oMathPara>
    </w:p>
    <w:p>
      <w:pPr>
        <w:numPr>
          <w:ilvl w:val="0"/>
          <w:numId w:val="1034"/>
        </w:numPr>
      </w:pPr>
      <w:r>
        <w:rPr>
          <w:b/>
          <w:bCs/>
        </w:rPr>
        <w:t xml:space="preserve">Columnas prohibidas:</w:t>
      </w:r>
      <w:r>
        <w:t xml:space="preserve"> </w:t>
      </w:r>
      <w:r>
        <w:t xml:space="preserve">ninguna variable declarada como fuga de la variable objetivo (en Davronov,</w:t>
      </w:r>
      <w:r>
        <w:t xml:space="preserve"> </w:t>
      </w:r>
      <w:r>
        <w:rPr>
          <w:rStyle w:val="VerbatimChar"/>
        </w:rPr>
        <w:t xml:space="preserve">Score_level</w:t>
      </w:r>
      <w:r>
        <w:t xml:space="preserve">,</w:t>
      </w:r>
      <w:r>
        <w:t xml:space="preserve"> </w:t>
      </w:r>
      <w:r>
        <w:rPr>
          <w:rStyle w:val="VerbatimChar"/>
        </w:rPr>
        <w:t xml:space="preserve">Score_class</w:t>
      </w:r>
      <w:r>
        <w:t xml:space="preserve"> </w:t>
      </w:r>
      <w:r>
        <w:t xml:space="preserve">y</w:t>
      </w:r>
      <w:r>
        <w:t xml:space="preserve"> </w:t>
      </w:r>
      <w:r>
        <w:rPr>
          <w:rStyle w:val="VerbatimChar"/>
        </w:rPr>
        <w:t xml:space="preserve">Score_point</w:t>
      </w:r>
      <w:r>
        <w:t xml:space="preserve">) puede formar parte de las variables del modelo.</w:t>
      </w:r>
    </w:p>
    <w:p>
      <w:pPr>
        <w:numPr>
          <w:ilvl w:val="0"/>
          <w:numId w:val="1034"/>
        </w:numPr>
      </w:pPr>
      <w:r>
        <w:rPr>
          <w:b/>
          <w:bCs/>
        </w:rPr>
        <w:t xml:space="preserve">Representatividad:</w:t>
      </w:r>
      <w:r>
        <w:t xml:space="preserve"> </w:t>
      </w:r>
      <w:r>
        <w:t xml:space="preserve">cada grupo de cada atributo protegido supera la proporción mínima:</w:t>
      </w:r>
    </w:p>
    <w:p>
      <w:pPr>
        <w:pStyle w:val="BodyText"/>
      </w:pPr>
      <m:oMathPara>
        <m:oMathParaPr>
          <m:jc m:val="center"/>
        </m:oMathParaPr>
        <m:oMath>
          <m:r>
            <m:rPr>
              <m:sty m:val="p"/>
            </m:rPr>
            <m:t>∀</m:t>
          </m:r>
          <m:r>
            <m:t>j</m:t>
          </m:r>
          <m:r>
            <m:rPr>
              <m:sty m:val="p"/>
            </m:rPr>
            <m:t>,</m:t>
          </m:r>
          <m:r>
            <m:t> </m:t>
          </m:r>
          <m:r>
            <m:rPr>
              <m:sty m:val="p"/>
            </m:rPr>
            <m:t>∀</m:t>
          </m:r>
          <m:r>
            <m:t>g</m:t>
          </m:r>
          <m:r>
            <m:rPr>
              <m:sty m:val="p"/>
            </m:rPr>
            <m:t>∈</m:t>
          </m:r>
          <m:sSub>
            <m:e>
              <m:r>
                <m:t>G</m:t>
              </m:r>
            </m:e>
            <m:sub>
              <m:r>
                <m:t>j</m:t>
              </m:r>
            </m:sub>
          </m:sSub>
          <m:r>
            <m:rPr>
              <m:sty m:val="p"/>
            </m:rPr>
            <m:t>:</m:t>
          </m:r>
          <m:r>
            <m:t> </m:t>
          </m:r>
          <m:r>
            <m:t>P</m:t>
          </m:r>
          <m:r>
            <m:rPr>
              <m:sty m:val="p"/>
            </m:rPr>
            <m:t>(</m:t>
          </m:r>
          <m:sSub>
            <m:e>
              <m:r>
                <m:t>Z</m:t>
              </m:r>
            </m:e>
            <m:sub>
              <m:r>
                <m:t>j</m:t>
              </m:r>
            </m:sub>
          </m:sSub>
          <m:r>
            <m:rPr>
              <m:sty m:val="p"/>
            </m:rPr>
            <m:t>=</m:t>
          </m:r>
          <m:r>
            <m:t>g</m:t>
          </m:r>
          <m:r>
            <m:rPr>
              <m:sty m:val="p"/>
            </m:rPr>
            <m:t>∣</m:t>
          </m:r>
          <m:r>
            <m:t>D</m:t>
          </m:r>
          <m:r>
            <m:rPr>
              <m:sty m:val="p"/>
            </m:rPr>
            <m:t>)</m:t>
          </m:r>
          <m:r>
            <m:rPr>
              <m:sty m:val="p"/>
            </m:rPr>
            <m:t>≥</m:t>
          </m:r>
          <m:sSub>
            <m:e>
              <m:r>
                <m:rPr>
                  <m:sty m:val="p"/>
                </m:rPr>
                <m:t>⊤</m:t>
              </m:r>
            </m:e>
            <m:sub>
              <m:r>
                <m:t>r</m:t>
              </m:r>
              <m:r>
                <m:t>e</m:t>
              </m:r>
              <m:r>
                <m:t>p</m:t>
              </m:r>
            </m:sub>
          </m:sSub>
          <m:r>
            <m:rPr>
              <m:sty m:val="p"/>
            </m:rPr>
            <m:t>=</m:t>
          </m:r>
          <m:r>
            <m:t>0.05</m:t>
          </m:r>
        </m:oMath>
      </m:oMathPara>
    </w:p>
    <w:p>
      <w:pPr>
        <w:numPr>
          <w:ilvl w:val="0"/>
          <w:numId w:val="1034"/>
        </w:numPr>
      </w:pPr>
      <w:r>
        <w:rPr>
          <w:b/>
          <w:bCs/>
        </w:rPr>
        <w:t xml:space="preserve">Interpretación:</w:t>
      </w:r>
      <w:r>
        <w:t xml:space="preserve"> </w:t>
      </w:r>
      <w:r>
        <w:t xml:space="preserve">si el lote vulnera la integridad o algún grupo protegido representa menos del 5 % del lote, el contrato falla y el pipeline se detiene antes de alimentar los transformadores.</w:t>
      </w:r>
    </w:p>
    <w:p>
      <w:pPr>
        <w:pStyle w:val="FirstParagraph"/>
      </w:pPr>
      <w:r>
        <w:rPr>
          <w:b/>
          <w:bCs/>
        </w:rPr>
        <w:t xml:space="preserve">Contrato C2: QA Gate 2 (Aislamiento del sesgo composicional en transformadores)</w:t>
      </w:r>
    </w:p>
    <w:p>
      <w:pPr>
        <w:numPr>
          <w:ilvl w:val="0"/>
          <w:numId w:val="1035"/>
        </w:numPr>
      </w:pPr>
      <w:r>
        <w:rPr>
          <w:b/>
          <w:bCs/>
        </w:rPr>
        <w:t xml:space="preserve">Naturaleza:</w:t>
      </w:r>
      <w:r>
        <w:t xml:space="preserve"> </w:t>
      </w:r>
      <w:r>
        <w:t xml:space="preserve">postcondición de cada transformador (imputación, escalado, codificación).</w:t>
      </w:r>
    </w:p>
    <w:p>
      <w:pPr>
        <w:numPr>
          <w:ilvl w:val="0"/>
          <w:numId w:val="1035"/>
        </w:numPr>
      </w:pPr>
      <w:r>
        <w:rPr>
          <w:b/>
          <w:bCs/>
        </w:rPr>
        <w:t xml:space="preserve">Indicador de filtración:</w:t>
      </w:r>
      <w:r>
        <w:t xml:space="preserve"> </w:t>
      </w:r>
      <w:r>
        <w:t xml:space="preserve">para las variables</w:t>
      </w:r>
      <w:r>
        <w:t xml:space="preserve"> </w:t>
      </w:r>
      <m:oMath>
        <m:sSup>
          <m:e>
            <m:r>
              <m:t>X</m:t>
            </m:r>
          </m:e>
          <m:sup>
            <m:r>
              <m:rPr>
                <m:sty m:val="p"/>
              </m:rPr>
              <m:t>(</m:t>
            </m:r>
            <m:r>
              <m:t>k</m:t>
            </m:r>
            <m:r>
              <m:rPr>
                <m:sty m:val="p"/>
              </m:rPr>
              <m:t>)</m:t>
            </m:r>
          </m:sup>
        </m:sSup>
      </m:oMath>
      <w:r>
        <w:t xml:space="preserve"> </w:t>
      </w:r>
      <w:r>
        <w:t xml:space="preserve">obtenidas después del paso</w:t>
      </w:r>
      <w:r>
        <w:t xml:space="preserve"> </w:t>
      </w:r>
      <m:oMath>
        <m:r>
          <m:t>k</m:t>
        </m:r>
      </m:oMath>
      <w:r>
        <w:t xml:space="preserve">, se entrena un clasificador auxiliar que intenta predecir el atributo protegido</w:t>
      </w:r>
      <w:r>
        <w:t xml:space="preserve"> </w:t>
      </w:r>
      <m:oMath>
        <m:sSub>
          <m:e>
            <m:r>
              <m:t>Z</m:t>
            </m:r>
          </m:e>
          <m:sub>
            <m:r>
              <m:t>j</m:t>
            </m:r>
          </m:sub>
        </m:sSub>
      </m:oMath>
      <w:r>
        <w:t xml:space="preserve"> </w:t>
      </w:r>
      <w:r>
        <w:t xml:space="preserve">dentro de cada estrato de la etiqueta real Y, y se promedia su área bajo la curva ROC ponderando por el tamaño del estrato:</w:t>
      </w:r>
    </w:p>
    <w:p>
      <w:pPr>
        <w:pStyle w:val="BodyText"/>
      </w:pPr>
      <m:oMathPara>
        <m:oMathParaPr>
          <m:jc m:val="center"/>
        </m:oMathParaPr>
        <m:oMath>
          <m:sSubSup>
            <m:e>
              <m:r>
                <m:t>L</m:t>
              </m:r>
            </m:e>
            <m:sub>
              <m:r>
                <m:t>j</m:t>
              </m:r>
            </m:sub>
            <m:sup>
              <m:r>
                <m:rPr>
                  <m:sty m:val="p"/>
                </m:rPr>
                <m:t>(</m:t>
              </m:r>
              <m:r>
                <m:t>k</m:t>
              </m:r>
              <m:r>
                <m:rPr>
                  <m:sty m:val="p"/>
                </m:rPr>
                <m:t>)</m:t>
              </m:r>
            </m:sup>
          </m:sSubSup>
          <m:r>
            <m:rPr>
              <m:sty m:val="p"/>
            </m:rPr>
            <m:t>=</m:t>
          </m:r>
          <m:nary>
            <m:naryPr>
              <m:chr m:val="∑"/>
              <m:limLoc m:val="undOvr"/>
              <m:subHide m:val="off"/>
              <m:supHide m:val="on"/>
            </m:naryPr>
            <m:sub>
              <m:r>
                <m:t>y</m:t>
              </m:r>
              <m:r>
                <m:rPr>
                  <m:sty m:val="p"/>
                </m:rPr>
                <m:t>∈</m:t>
              </m:r>
              <m:r>
                <m:rPr>
                  <m:sty m:val="p"/>
                </m:rPr>
                <m:t>{</m:t>
              </m:r>
              <m:r>
                <m:t>0</m:t>
              </m:r>
              <m:r>
                <m:rPr>
                  <m:sty m:val="p"/>
                </m:rPr>
                <m:t>,</m:t>
              </m:r>
              <m:r>
                <m:t>1</m:t>
              </m:r>
              <m:r>
                <m:rPr>
                  <m:sty m:val="p"/>
                </m:rPr>
                <m:t>}</m:t>
              </m:r>
            </m:sub>
            <m:sup>
              <m:r>
                <m:t>​</m:t>
              </m:r>
            </m:sup>
            <m:e>
              <m:r>
                <m:t>P</m:t>
              </m:r>
            </m:e>
          </m:nary>
          <m:r>
            <m:rPr>
              <m:sty m:val="p"/>
            </m:rPr>
            <m:t>(</m:t>
          </m:r>
          <m:r>
            <m:t>Y</m:t>
          </m:r>
          <m:r>
            <m:rPr>
              <m:sty m:val="p"/>
            </m:rPr>
            <m:t>=</m:t>
          </m:r>
          <m:r>
            <m:t>y</m:t>
          </m:r>
          <m:r>
            <m:rPr>
              <m:sty m:val="p"/>
            </m:rPr>
            <m:t>)</m:t>
          </m:r>
          <m:r>
            <m:rPr>
              <m:sty m:val="p"/>
            </m:rPr>
            <m:t>⋅</m:t>
          </m:r>
          <m:r>
            <m:t>A</m:t>
          </m:r>
          <m:r>
            <m:t>U</m:t>
          </m:r>
          <m:r>
            <m:t>C</m:t>
          </m:r>
          <m:d>
            <m:dPr>
              <m:begChr m:val="("/>
              <m:sepChr m:val=""/>
              <m:endChr m:val=")"/>
              <m:grow/>
            </m:dPr>
            <m:e>
              <m:sSub>
                <m:e>
                  <m:r>
                    <m:t>Z</m:t>
                  </m:r>
                </m:e>
                <m:sub>
                  <m:r>
                    <m:t>j</m:t>
                  </m:r>
                </m:sub>
              </m:sSub>
              <m:r>
                <m:rPr>
                  <m:sty m:val="p"/>
                </m:rPr>
                <m:t>∣</m:t>
              </m:r>
              <m:sSup>
                <m:e>
                  <m:r>
                    <m:t>X</m:t>
                  </m:r>
                </m:e>
                <m:sup>
                  <m:r>
                    <m:rPr>
                      <m:sty m:val="p"/>
                    </m:rPr>
                    <m:t>(</m:t>
                  </m:r>
                  <m:r>
                    <m:t>k</m:t>
                  </m:r>
                  <m:r>
                    <m:rPr>
                      <m:sty m:val="p"/>
                    </m:rPr>
                    <m:t>)</m:t>
                  </m:r>
                </m:sup>
              </m:sSup>
              <m:r>
                <m:rPr>
                  <m:sty m:val="p"/>
                </m:rPr>
                <m:t>,</m:t>
              </m:r>
              <m:r>
                <m:t> </m:t>
              </m:r>
              <m:r>
                <m:t>Y</m:t>
              </m:r>
              <m:r>
                <m:rPr>
                  <m:sty m:val="p"/>
                </m:rPr>
                <m:t>=</m:t>
              </m:r>
              <m:r>
                <m:t>y</m:t>
              </m:r>
            </m:e>
          </m:d>
        </m:oMath>
      </m:oMathPara>
    </w:p>
    <w:p>
      <w:pPr>
        <w:numPr>
          <w:ilvl w:val="0"/>
          <w:numId w:val="1000"/>
        </w:numPr>
      </w:pPr>
      <w:r>
        <w:t xml:space="preserve">Un valor cercano a 0,5 indica que las variables no permiten reconstruir el atributo protegido más allá del azar, una vez conocida la etiqueta. Condicionar en Y corresponde a la noción de independencia condicional de la información mutua condicional</w:t>
      </w:r>
      <w:r>
        <w:t xml:space="preserve"> </w:t>
      </w:r>
      <m:oMath>
        <m:r>
          <m:t>I</m:t>
        </m:r>
        <m:r>
          <m:rPr>
            <m:sty m:val="p"/>
          </m:rPr>
          <m:t>(</m:t>
        </m:r>
        <m:r>
          <m:t>X</m:t>
        </m:r>
        <m:r>
          <m:rPr>
            <m:sty m:val="p"/>
          </m:rPr>
          <m:t>;</m:t>
        </m:r>
        <m:r>
          <m:t>Z</m:t>
        </m:r>
        <m:r>
          <m:rPr>
            <m:sty m:val="p"/>
          </m:rPr>
          <m:t>∣</m:t>
        </m:r>
        <m:r>
          <m:t>Y</m:t>
        </m:r>
        <m:r>
          <m:rPr>
            <m:sty m:val="p"/>
          </m:rPr>
          <m:t>)</m:t>
        </m:r>
      </m:oMath>
      <w:r>
        <w:t xml:space="preserve">, que se conserva como métrica secundaria.</w:t>
      </w:r>
    </w:p>
    <w:p>
      <w:pPr>
        <w:numPr>
          <w:ilvl w:val="0"/>
          <w:numId w:val="1035"/>
        </w:numPr>
      </w:pPr>
      <w:r>
        <w:rPr>
          <w:b/>
          <w:bCs/>
        </w:rPr>
        <w:t xml:space="preserve">Reglas:</w:t>
      </w:r>
    </w:p>
    <w:p>
      <w:pPr>
        <w:pStyle w:val="BodyText"/>
      </w:pPr>
      <m:oMathPara>
        <m:oMathParaPr>
          <m:jc m:val="center"/>
        </m:oMathParaPr>
        <m:oMath>
          <m:sSubSup>
            <m:e>
              <m:r>
                <m:t>L</m:t>
              </m:r>
            </m:e>
            <m:sub>
              <m:r>
                <m:t>j</m:t>
              </m:r>
            </m:sub>
            <m:sup>
              <m:r>
                <m:rPr>
                  <m:sty m:val="p"/>
                </m:rPr>
                <m:t>(</m:t>
              </m:r>
              <m:r>
                <m:t>k</m:t>
              </m:r>
              <m:r>
                <m:rPr>
                  <m:sty m:val="p"/>
                </m:rPr>
                <m:t>)</m:t>
              </m:r>
            </m:sup>
          </m:sSubSup>
          <m:r>
            <m:rPr>
              <m:sty m:val="p"/>
            </m:rPr>
            <m:t>≤</m:t>
          </m:r>
          <m:sSub>
            <m:e>
              <m:r>
                <m:rPr>
                  <m:sty m:val="p"/>
                </m:rPr>
                <m:t>⊤</m:t>
              </m:r>
            </m:e>
            <m:sub>
              <m:r>
                <m:t>p</m:t>
              </m:r>
              <m:r>
                <m:t>r</m:t>
              </m:r>
              <m:r>
                <m:t>o</m:t>
              </m:r>
              <m:r>
                <m:t>x</m:t>
              </m:r>
              <m:r>
                <m:t>y</m:t>
              </m:r>
            </m:sub>
          </m:sSub>
          <m:r>
            <m:rPr>
              <m:sty m:val="p"/>
            </m:rPr>
            <m:t>=</m:t>
          </m:r>
          <m:r>
            <m:t>0.60</m:t>
          </m:r>
          <m:r>
            <m:t>  </m:t>
          </m:r>
          <m:r>
            <m:rPr>
              <m:nor/>
            </m:rPr>
            <m:t>y</m:t>
          </m:r>
          <m:r>
            <m:t>  </m:t>
          </m:r>
          <m:sSubSup>
            <m:e>
              <m:r>
                <m:t>L</m:t>
              </m:r>
            </m:e>
            <m:sub>
              <m:r>
                <m:t>j</m:t>
              </m:r>
            </m:sub>
            <m:sup>
              <m:r>
                <m:rPr>
                  <m:sty m:val="p"/>
                </m:rPr>
                <m:t>(</m:t>
              </m:r>
              <m:r>
                <m:t>k</m:t>
              </m:r>
              <m:r>
                <m:rPr>
                  <m:sty m:val="p"/>
                </m:rPr>
                <m:t>)</m:t>
              </m:r>
            </m:sup>
          </m:sSubSup>
          <m:r>
            <m:rPr>
              <m:sty m:val="p"/>
            </m:rPr>
            <m:t>−</m:t>
          </m:r>
          <m:sSubSup>
            <m:e>
              <m:r>
                <m:t>L</m:t>
              </m:r>
            </m:e>
            <m:sub>
              <m:r>
                <m:t>j</m:t>
              </m:r>
            </m:sub>
            <m:sup>
              <m:r>
                <m:rPr>
                  <m:sty m:val="p"/>
                </m:rPr>
                <m:t>(</m:t>
              </m:r>
              <m:r>
                <m:t>k</m:t>
              </m:r>
              <m:r>
                <m:rPr>
                  <m:sty m:val="p"/>
                </m:rPr>
                <m:t>−</m:t>
              </m:r>
              <m:r>
                <m:t>1</m:t>
              </m:r>
              <m:r>
                <m:rPr>
                  <m:sty m:val="p"/>
                </m:rPr>
                <m:t>)</m:t>
              </m:r>
            </m:sup>
          </m:sSubSup>
          <m:r>
            <m:rPr>
              <m:sty m:val="p"/>
            </m:rPr>
            <m:t>≤</m:t>
          </m:r>
          <m:r>
            <m:t>δ</m:t>
          </m:r>
          <m:r>
            <m:rPr>
              <m:sty m:val="p"/>
            </m:rPr>
            <m:t>=</m:t>
          </m:r>
          <m:r>
            <m:t>0.02</m:t>
          </m:r>
        </m:oMath>
      </m:oMathPara>
    </w:p>
    <w:p>
      <w:pPr>
        <w:numPr>
          <w:ilvl w:val="0"/>
          <w:numId w:val="1035"/>
        </w:numPr>
      </w:pPr>
      <w:r>
        <w:rPr>
          <w:b/>
          <w:bCs/>
        </w:rPr>
        <w:t xml:space="preserve">Localización:</w:t>
      </w:r>
      <w:r>
        <w:t xml:space="preserve"> </w:t>
      </w:r>
      <w:r>
        <w:t xml:space="preserve">cuando el contrato falla, el reporte identifica el paso</w:t>
      </w:r>
      <w:r>
        <w:t xml:space="preserve"> </w:t>
      </w:r>
      <m:oMath>
        <m:r>
          <m:t>k</m:t>
        </m:r>
      </m:oMath>
      <w:r>
        <w:t xml:space="preserve"> </w:t>
      </w:r>
      <w:r>
        <w:t xml:space="preserve">responsable y las variables con mayor importancia en el clasificador auxiliar.</w:t>
      </w:r>
    </w:p>
    <w:p>
      <w:pPr>
        <w:numPr>
          <w:ilvl w:val="0"/>
          <w:numId w:val="1035"/>
        </w:numPr>
      </w:pPr>
      <w:r>
        <w:rPr>
          <w:b/>
          <w:bCs/>
        </w:rPr>
        <w:t xml:space="preserve">Interpretación:</w:t>
      </w:r>
      <w:r>
        <w:t xml:space="preserve"> </w:t>
      </w:r>
      <w:r>
        <w:t xml:space="preserve">si un transformador (por ejemplo, una imputación que depende del grupo o una codificación que reintroduce</w:t>
      </w:r>
      <w:r>
        <w:t xml:space="preserve"> </w:t>
      </w:r>
      <w:r>
        <w:rPr>
          <w:rStyle w:val="VerbatimChar"/>
        </w:rPr>
        <w:t xml:space="preserve">Marital</w:t>
      </w:r>
      <w:r>
        <w:t xml:space="preserve">) aumenta la capacidad de reconstruir el atributo protegido por encima del incremento tolerado, o si el indicador supera el tope absoluto, el contrato falla y señala el paso exacto, evitando delegar la detección a la auditoría del modelo final (Biswas &amp; Rajan, 2021). Los valores 0,60 y 0,02 son iniciales y se calibran según la etapa D de 4.3.2.</w:t>
      </w:r>
    </w:p>
    <w:p>
      <w:pPr>
        <w:pStyle w:val="FirstParagraph"/>
      </w:pPr>
      <w:r>
        <w:rPr>
          <w:b/>
          <w:bCs/>
        </w:rPr>
        <w:t xml:space="preserve">Contrato C3: QA Gate 3 (Evaluación ética del modelo entrenado, con remediación)</w:t>
      </w:r>
    </w:p>
    <w:p>
      <w:pPr>
        <w:numPr>
          <w:ilvl w:val="0"/>
          <w:numId w:val="1036"/>
        </w:numPr>
      </w:pPr>
      <w:r>
        <w:rPr>
          <w:b/>
          <w:bCs/>
        </w:rPr>
        <w:t xml:space="preserve">Naturaleza:</w:t>
      </w:r>
      <w:r>
        <w:t xml:space="preserve"> </w:t>
      </w:r>
      <w:r>
        <w:t xml:space="preserve">postcondición del entrenamiento. Evalúa las predicciones</w:t>
      </w:r>
      <w:r>
        <w:t xml:space="preserve"> </w:t>
      </w:r>
      <m:oMath>
        <m:acc>
          <m:accPr>
            <m:chr m:val="̂"/>
          </m:accPr>
          <m:e>
            <m:r>
              <m:t>Y</m:t>
            </m:r>
          </m:e>
        </m:acc>
        <m:r>
          <m:rPr>
            <m:sty m:val="p"/>
          </m:rPr>
          <m:t>=</m:t>
        </m:r>
        <m:r>
          <m:t>h</m:t>
        </m:r>
        <m:r>
          <m:rPr>
            <m:sty m:val="p"/>
          </m:rPr>
          <m:t>(</m:t>
        </m:r>
        <m:r>
          <m:t>X</m:t>
        </m:r>
        <m:r>
          <m:rPr>
            <m:sty m:val="p"/>
          </m:rPr>
          <m:t>)</m:t>
        </m:r>
      </m:oMath>
      <w:r>
        <w:t xml:space="preserve"> </w:t>
      </w:r>
      <w:r>
        <w:t xml:space="preserve">para cada atributo protegido. Cuando el grupo no privilegiado</w:t>
      </w:r>
      <w:r>
        <w:t xml:space="preserve"> </w:t>
      </w:r>
      <m:oMath>
        <m:r>
          <m:t>u</m:t>
        </m:r>
      </m:oMath>
      <w:r>
        <w:t xml:space="preserve"> </w:t>
      </w:r>
      <w:r>
        <w:t xml:space="preserve">y el privilegiado</w:t>
      </w:r>
      <w:r>
        <w:t xml:space="preserve"> </w:t>
      </w:r>
      <m:oMath>
        <m:r>
          <m:t>p</m:t>
        </m:r>
      </m:oMath>
      <w:r>
        <w:t xml:space="preserve"> </w:t>
      </w:r>
      <w:r>
        <w:t xml:space="preserve">son conocidos:</w:t>
      </w:r>
    </w:p>
    <w:p>
      <w:pPr>
        <w:pStyle w:val="BodyText"/>
      </w:pPr>
      <m:oMathPara>
        <m:oMathParaPr>
          <m:jc m:val="center"/>
        </m:oMathParaPr>
        <m:oMath>
          <m:r>
            <m:rPr>
              <m:sty m:val="p"/>
            </m:rPr>
            <m:t>|</m:t>
          </m:r>
          <m:r>
            <m:t>S</m:t>
          </m:r>
          <m:r>
            <m:t>P</m:t>
          </m:r>
          <m:r>
            <m:t>D</m:t>
          </m:r>
          <m:r>
            <m:rPr>
              <m:sty m:val="p"/>
            </m:rPr>
            <m:t>|</m:t>
          </m:r>
          <m:r>
            <m:rPr>
              <m:sty m:val="p"/>
            </m:rPr>
            <m:t>=</m:t>
          </m:r>
          <m:r>
            <m:rPr>
              <m:sty m:val="p"/>
            </m:rPr>
            <m:t>|</m:t>
          </m:r>
          <m:r>
            <m:t>P</m:t>
          </m:r>
          <m:r>
            <m:rPr>
              <m:sty m:val="p"/>
            </m:rPr>
            <m:t>(</m:t>
          </m:r>
          <m:r>
            <m:t>h</m:t>
          </m:r>
          <m:r>
            <m:rPr>
              <m:sty m:val="p"/>
            </m:rPr>
            <m:t>(</m:t>
          </m:r>
          <m:r>
            <m:t>X</m:t>
          </m:r>
          <m:r>
            <m:rPr>
              <m:sty m:val="p"/>
            </m:rPr>
            <m:t>)</m:t>
          </m:r>
          <m:r>
            <m:rPr>
              <m:sty m:val="p"/>
            </m:rPr>
            <m:t>=</m:t>
          </m:r>
          <m:r>
            <m:t>1</m:t>
          </m:r>
          <m:r>
            <m:rPr>
              <m:sty m:val="p"/>
            </m:rPr>
            <m:t>∣</m:t>
          </m:r>
          <m:r>
            <m:t>Z</m:t>
          </m:r>
          <m:r>
            <m:rPr>
              <m:sty m:val="p"/>
            </m:rPr>
            <m:t>=</m:t>
          </m:r>
          <m:r>
            <m:t>u</m:t>
          </m:r>
          <m:r>
            <m:rPr>
              <m:sty m:val="p"/>
            </m:rPr>
            <m:t>)</m:t>
          </m:r>
          <m:r>
            <m:rPr>
              <m:sty m:val="p"/>
            </m:rPr>
            <m:t>−</m:t>
          </m:r>
          <m:r>
            <m:t>P</m:t>
          </m:r>
          <m:r>
            <m:rPr>
              <m:sty m:val="p"/>
            </m:rPr>
            <m:t>(</m:t>
          </m:r>
          <m:r>
            <m:t>h</m:t>
          </m:r>
          <m:r>
            <m:rPr>
              <m:sty m:val="p"/>
            </m:rPr>
            <m:t>(</m:t>
          </m:r>
          <m:r>
            <m:t>X</m:t>
          </m:r>
          <m:r>
            <m:rPr>
              <m:sty m:val="p"/>
            </m:rPr>
            <m:t>)</m:t>
          </m:r>
          <m:r>
            <m:rPr>
              <m:sty m:val="p"/>
            </m:rPr>
            <m:t>=</m:t>
          </m:r>
          <m:r>
            <m:t>1</m:t>
          </m:r>
          <m:r>
            <m:rPr>
              <m:sty m:val="p"/>
            </m:rPr>
            <m:t>∣</m:t>
          </m:r>
          <m:r>
            <m:t>Z</m:t>
          </m:r>
          <m:r>
            <m:rPr>
              <m:sty m:val="p"/>
            </m:rPr>
            <m:t>=</m:t>
          </m:r>
          <m:r>
            <m:t>p</m:t>
          </m:r>
          <m:r>
            <m:rPr>
              <m:sty m:val="p"/>
            </m:rPr>
            <m:t>)</m:t>
          </m:r>
          <m:r>
            <m:rPr>
              <m:sty m:val="p"/>
            </m:rPr>
            <m:t>|</m:t>
          </m:r>
          <m:r>
            <m:rPr>
              <m:sty m:val="p"/>
            </m:rPr>
            <m:t>≤</m:t>
          </m:r>
          <m:sSub>
            <m:e>
              <m:r>
                <m:t>ϵ</m:t>
              </m:r>
            </m:e>
            <m:sub>
              <m:r>
                <m:t>S</m:t>
              </m:r>
              <m:r>
                <m:t>P</m:t>
              </m:r>
              <m:r>
                <m:t>D</m:t>
              </m:r>
            </m:sub>
          </m:sSub>
          <m:r>
            <m:rPr>
              <m:sty m:val="p"/>
            </m:rPr>
            <m:t>=</m:t>
          </m:r>
          <m:r>
            <m:t>0.10</m:t>
          </m:r>
        </m:oMath>
      </m:oMathPara>
    </w:p>
    <w:p>
      <w:pPr>
        <w:pStyle w:val="FirstParagraph"/>
      </w:pPr>
      <m:oMathPara>
        <m:oMathParaPr>
          <m:jc m:val="center"/>
        </m:oMathParaPr>
        <m:oMath>
          <m:r>
            <m:rPr>
              <m:sty m:val="p"/>
            </m:rPr>
            <m:t>|</m:t>
          </m:r>
          <m:r>
            <m:t>E</m:t>
          </m:r>
          <m:r>
            <m:t>O</m:t>
          </m:r>
          <m:r>
            <m:t>D</m:t>
          </m:r>
          <m:r>
            <m:rPr>
              <m:sty m:val="p"/>
            </m:rPr>
            <m:t>|</m:t>
          </m:r>
          <m:r>
            <m:rPr>
              <m:sty m:val="p"/>
            </m:rPr>
            <m:t>=</m:t>
          </m:r>
          <m:r>
            <m:rPr>
              <m:sty m:val="p"/>
            </m:rPr>
            <m:t>|</m:t>
          </m:r>
          <m:r>
            <m:t>P</m:t>
          </m:r>
          <m:r>
            <m:rPr>
              <m:sty m:val="p"/>
            </m:rPr>
            <m:t>(</m:t>
          </m:r>
          <m:r>
            <m:t>h</m:t>
          </m:r>
          <m:r>
            <m:rPr>
              <m:sty m:val="p"/>
            </m:rPr>
            <m:t>(</m:t>
          </m:r>
          <m:r>
            <m:t>X</m:t>
          </m:r>
          <m:r>
            <m:rPr>
              <m:sty m:val="p"/>
            </m:rPr>
            <m:t>)</m:t>
          </m:r>
          <m:r>
            <m:rPr>
              <m:sty m:val="p"/>
            </m:rPr>
            <m:t>=</m:t>
          </m:r>
          <m:r>
            <m:t>1</m:t>
          </m:r>
          <m:r>
            <m:rPr>
              <m:sty m:val="p"/>
            </m:rPr>
            <m:t>∣</m:t>
          </m:r>
          <m:r>
            <m:t>Y</m:t>
          </m:r>
          <m:r>
            <m:rPr>
              <m:sty m:val="p"/>
            </m:rPr>
            <m:t>=</m:t>
          </m:r>
          <m:r>
            <m:t>1</m:t>
          </m:r>
          <m:r>
            <m:rPr>
              <m:sty m:val="p"/>
            </m:rPr>
            <m:t>,</m:t>
          </m:r>
          <m:r>
            <m:t>Z</m:t>
          </m:r>
          <m:r>
            <m:rPr>
              <m:sty m:val="p"/>
            </m:rPr>
            <m:t>=</m:t>
          </m:r>
          <m:r>
            <m:t>u</m:t>
          </m:r>
          <m:r>
            <m:rPr>
              <m:sty m:val="p"/>
            </m:rPr>
            <m:t>)</m:t>
          </m:r>
          <m:r>
            <m:rPr>
              <m:sty m:val="p"/>
            </m:rPr>
            <m:t>−</m:t>
          </m:r>
          <m:r>
            <m:t>P</m:t>
          </m:r>
          <m:r>
            <m:rPr>
              <m:sty m:val="p"/>
            </m:rPr>
            <m:t>(</m:t>
          </m:r>
          <m:r>
            <m:t>h</m:t>
          </m:r>
          <m:r>
            <m:rPr>
              <m:sty m:val="p"/>
            </m:rPr>
            <m:t>(</m:t>
          </m:r>
          <m:r>
            <m:t>X</m:t>
          </m:r>
          <m:r>
            <m:rPr>
              <m:sty m:val="p"/>
            </m:rPr>
            <m:t>)</m:t>
          </m:r>
          <m:r>
            <m:rPr>
              <m:sty m:val="p"/>
            </m:rPr>
            <m:t>=</m:t>
          </m:r>
          <m:r>
            <m:t>1</m:t>
          </m:r>
          <m:r>
            <m:rPr>
              <m:sty m:val="p"/>
            </m:rPr>
            <m:t>∣</m:t>
          </m:r>
          <m:r>
            <m:t>Y</m:t>
          </m:r>
          <m:r>
            <m:rPr>
              <m:sty m:val="p"/>
            </m:rPr>
            <m:t>=</m:t>
          </m:r>
          <m:r>
            <m:t>1</m:t>
          </m:r>
          <m:r>
            <m:rPr>
              <m:sty m:val="p"/>
            </m:rPr>
            <m:t>,</m:t>
          </m:r>
          <m:r>
            <m:t>Z</m:t>
          </m:r>
          <m:r>
            <m:rPr>
              <m:sty m:val="p"/>
            </m:rPr>
            <m:t>=</m:t>
          </m:r>
          <m:r>
            <m:t>p</m:t>
          </m:r>
          <m:r>
            <m:rPr>
              <m:sty m:val="p"/>
            </m:rPr>
            <m:t>)</m:t>
          </m:r>
          <m:r>
            <m:rPr>
              <m:sty m:val="p"/>
            </m:rPr>
            <m:t>|</m:t>
          </m:r>
          <m:r>
            <m:rPr>
              <m:sty m:val="p"/>
            </m:rPr>
            <m:t>≤</m:t>
          </m:r>
          <m:sSub>
            <m:e>
              <m:r>
                <m:t>ϵ</m:t>
              </m:r>
            </m:e>
            <m:sub>
              <m:r>
                <m:t>E</m:t>
              </m:r>
              <m:r>
                <m:t>O</m:t>
              </m:r>
              <m:r>
                <m:t>D</m:t>
              </m:r>
            </m:sub>
          </m:sSub>
          <m:r>
            <m:rPr>
              <m:sty m:val="p"/>
            </m:rPr>
            <m:t>=</m:t>
          </m:r>
          <m:r>
            <m:t>0.10</m:t>
          </m:r>
        </m:oMath>
      </m:oMathPara>
    </w:p>
    <w:p>
      <w:pPr>
        <w:pStyle w:val="FirstParagraph"/>
      </w:pPr>
      <m:oMathPara>
        <m:oMathParaPr>
          <m:jc m:val="center"/>
        </m:oMathParaPr>
        <m:oMath>
          <m:r>
            <m:t>D</m:t>
          </m:r>
          <m:r>
            <m:t>I</m:t>
          </m:r>
          <m:r>
            <m:rPr>
              <m:sty m:val="p"/>
            </m:rPr>
            <m:t>=</m:t>
          </m:r>
          <m:f>
            <m:fPr>
              <m:type m:val="bar"/>
            </m:fPr>
            <m:num>
              <m:r>
                <m:t>P</m:t>
              </m:r>
              <m:r>
                <m:rPr>
                  <m:sty m:val="p"/>
                </m:rPr>
                <m:t>(</m:t>
              </m:r>
              <m:r>
                <m:t>h</m:t>
              </m:r>
              <m:r>
                <m:rPr>
                  <m:sty m:val="p"/>
                </m:rPr>
                <m:t>(</m:t>
              </m:r>
              <m:r>
                <m:t>X</m:t>
              </m:r>
              <m:r>
                <m:rPr>
                  <m:sty m:val="p"/>
                </m:rPr>
                <m:t>)</m:t>
              </m:r>
              <m:r>
                <m:rPr>
                  <m:sty m:val="p"/>
                </m:rPr>
                <m:t>=</m:t>
              </m:r>
              <m:r>
                <m:t>1</m:t>
              </m:r>
              <m:r>
                <m:rPr>
                  <m:sty m:val="p"/>
                </m:rPr>
                <m:t>∣</m:t>
              </m:r>
              <m:r>
                <m:t>Z</m:t>
              </m:r>
              <m:r>
                <m:rPr>
                  <m:sty m:val="p"/>
                </m:rPr>
                <m:t>=</m:t>
              </m:r>
              <m:r>
                <m:t>u</m:t>
              </m:r>
              <m:r>
                <m:rPr>
                  <m:sty m:val="p"/>
                </m:rPr>
                <m:t>)</m:t>
              </m:r>
            </m:num>
            <m:den>
              <m:r>
                <m:t>P</m:t>
              </m:r>
              <m:r>
                <m:rPr>
                  <m:sty m:val="p"/>
                </m:rPr>
                <m:t>(</m:t>
              </m:r>
              <m:r>
                <m:t>h</m:t>
              </m:r>
              <m:r>
                <m:rPr>
                  <m:sty m:val="p"/>
                </m:rPr>
                <m:t>(</m:t>
              </m:r>
              <m:r>
                <m:t>X</m:t>
              </m:r>
              <m:r>
                <m:rPr>
                  <m:sty m:val="p"/>
                </m:rPr>
                <m:t>)</m:t>
              </m:r>
              <m:r>
                <m:rPr>
                  <m:sty m:val="p"/>
                </m:rPr>
                <m:t>=</m:t>
              </m:r>
              <m:r>
                <m:t>1</m:t>
              </m:r>
              <m:r>
                <m:rPr>
                  <m:sty m:val="p"/>
                </m:rPr>
                <m:t>∣</m:t>
              </m:r>
              <m:r>
                <m:t>Z</m:t>
              </m:r>
              <m:r>
                <m:rPr>
                  <m:sty m:val="p"/>
                </m:rPr>
                <m:t>=</m:t>
              </m:r>
              <m:r>
                <m:t>p</m:t>
              </m:r>
              <m:r>
                <m:rPr>
                  <m:sty m:val="p"/>
                </m:rPr>
                <m:t>)</m:t>
              </m:r>
            </m:den>
          </m:f>
          <m:r>
            <m:rPr>
              <m:sty m:val="p"/>
            </m:rPr>
            <m:t>≥</m:t>
          </m:r>
          <m:r>
            <m:t>0.80</m:t>
          </m:r>
        </m:oMath>
      </m:oMathPara>
    </w:p>
    <w:p>
      <w:pPr>
        <w:numPr>
          <w:ilvl w:val="0"/>
          <w:numId w:val="1000"/>
        </w:numPr>
      </w:pPr>
      <w:r>
        <w:t xml:space="preserve">Cuando la codificación no permite identificar el grupo no privilegiado, se usan las formas simétricas:</w:t>
      </w:r>
      <w:r>
        <w:t xml:space="preserve"> </w:t>
      </w:r>
      <m:oMath>
        <m:sSub>
          <m:e>
            <m:r>
              <m:rPr>
                <m:sty m:val="p"/>
              </m:rPr>
              <m:t>max</m:t>
            </m:r>
          </m:e>
          <m:sub>
            <m:r>
              <m:t>g</m:t>
            </m:r>
          </m:sub>
        </m:sSub>
        <m:r>
          <m:rPr>
            <m:sty m:val="p"/>
          </m:rPr>
          <m:t>−</m:t>
        </m:r>
        <m:sSub>
          <m:e>
            <m:r>
              <m:rPr>
                <m:sty m:val="p"/>
              </m:rPr>
              <m:t>min</m:t>
            </m:r>
          </m:e>
          <m:sub>
            <m:r>
              <m:t>g</m:t>
            </m:r>
          </m:sub>
        </m:sSub>
      </m:oMath>
      <w:r>
        <w:t xml:space="preserve"> </w:t>
      </w:r>
      <w:r>
        <w:t xml:space="preserve">de las tasas para SPD y EOD, y</w:t>
      </w:r>
      <w:r>
        <w:t xml:space="preserve"> </w:t>
      </w:r>
      <m:oMath>
        <m:sSub>
          <m:e>
            <m:r>
              <m:rPr>
                <m:sty m:val="p"/>
              </m:rPr>
              <m:t>min</m:t>
            </m:r>
          </m:e>
          <m:sub>
            <m:r>
              <m:t>g</m:t>
            </m:r>
          </m:sub>
        </m:sSub>
        <m:r>
          <m:rPr>
            <m:sty m:val="p"/>
          </m:rPr>
          <m:t>/</m:t>
        </m:r>
        <m:sSub>
          <m:e>
            <m:r>
              <m:rPr>
                <m:sty m:val="p"/>
              </m:rPr>
              <m:t>max</m:t>
            </m:r>
          </m:e>
          <m:sub>
            <m:r>
              <m:t>g</m:t>
            </m:r>
          </m:sub>
        </m:sSub>
      </m:oMath>
      <w:r>
        <w:t xml:space="preserve"> </w:t>
      </w:r>
      <w:r>
        <w:t xml:space="preserve">de las tasas de selección para DI. La métrica EOD corresponde al criterio de igualdad de oportunidades de Hardt et al. (2016), y el umbral de DI a la regla de los cuatro quintos, según la cual una tasa de selección</w:t>
      </w:r>
      <w:r>
        <w:t xml:space="preserve"> </w:t>
      </w:r>
      <w:r>
        <w:t xml:space="preserve">“less than four-fifths (4/5) (or eighty percent) of the rate for the group with the highest rate will generally be regarded by the Federal enforcement agencies as evidence of adverse impact”</w:t>
      </w:r>
      <w:r>
        <w:t xml:space="preserve"> </w:t>
      </w:r>
      <w:r>
        <w:t xml:space="preserve">(Uniform Guidelines on Employee Selection Procedures, 1978, § 1607.4(D)).</w:t>
      </w:r>
    </w:p>
    <w:p>
      <w:pPr>
        <w:numPr>
          <w:ilvl w:val="0"/>
          <w:numId w:val="1036"/>
        </w:numPr>
      </w:pPr>
      <w:r>
        <w:rPr>
          <w:b/>
          <w:bCs/>
        </w:rPr>
        <w:t xml:space="preserve">Guardia de exactitud (</w:t>
      </w:r>
      <w:r>
        <w:rPr>
          <w:rStyle w:val="VerbatimChar"/>
          <w:b/>
          <w:bCs/>
        </w:rPr>
        <w:t xml:space="preserve">warn</w:t>
      </w:r>
      <w:r>
        <w:rPr>
          <w:b/>
          <w:bCs/>
        </w:rPr>
        <w:t xml:space="preserve">):</w:t>
      </w:r>
      <w:r>
        <w:t xml:space="preserve"> </w:t>
      </w:r>
      <w:r>
        <w:t xml:space="preserve">la pérdida de exactitud balanceada del modelo remediado respecto del base no debe superar 0,05, de modo que el costo de la equidad quede documentado (Menon &amp; Williamson, 2018).</w:t>
      </w:r>
    </w:p>
    <w:p>
      <w:pPr>
        <w:numPr>
          <w:ilvl w:val="0"/>
          <w:numId w:val="1036"/>
        </w:numPr>
      </w:pPr>
      <w:r>
        <w:rPr>
          <w:b/>
          <w:bCs/>
        </w:rPr>
        <w:t xml:space="preserve">Incertidumbre:</w:t>
      </w:r>
      <w:r>
        <w:t xml:space="preserve"> </w:t>
      </w:r>
      <w:r>
        <w:t xml:space="preserve">cada métrica se estima con un intervalo de confianza al 95 % por</w:t>
      </w:r>
      <w:r>
        <w:t xml:space="preserve"> </w:t>
      </w:r>
      <w:r>
        <w:rPr>
          <w:i/>
          <w:iCs/>
        </w:rPr>
        <w:t xml:space="preserve">bootstrap</w:t>
      </w:r>
      <w:r>
        <w:t xml:space="preserve"> </w:t>
      </w:r>
      <w:r>
        <w:t xml:space="preserve">con 500 remuestreos (Efron &amp; Tibshirani, 1993), y se decide con el extremo más desfavorable.</w:t>
      </w:r>
    </w:p>
    <w:p>
      <w:pPr>
        <w:numPr>
          <w:ilvl w:val="0"/>
          <w:numId w:val="1036"/>
        </w:numPr>
      </w:pPr>
      <w:r>
        <w:rPr>
          <w:b/>
          <w:bCs/>
        </w:rPr>
        <w:t xml:space="preserve">Remediación:</w:t>
      </w:r>
      <w:r>
        <w:t xml:space="preserve"> </w:t>
      </w:r>
      <w:r>
        <w:t xml:space="preserve">si el modelo base incumple alguna regla</w:t>
      </w:r>
      <w:r>
        <w:t xml:space="preserve"> </w:t>
      </w:r>
      <w:r>
        <w:rPr>
          <w:rStyle w:val="VerbatimChar"/>
        </w:rPr>
        <w:t xml:space="preserve">block</w:t>
      </w:r>
      <w:r>
        <w:t xml:space="preserve">, se aplica el post-procesamiento declarado en el contrato (</w:t>
      </w:r>
      <w:r>
        <w:rPr>
          <w:rStyle w:val="VerbatimChar"/>
        </w:rPr>
        <w:t xml:space="preserve">ThresholdOptimizer</w:t>
      </w:r>
      <w:r>
        <w:t xml:space="preserve"> </w:t>
      </w:r>
      <w:r>
        <w:t xml:space="preserve">con restricción de</w:t>
      </w:r>
      <w:r>
        <w:t xml:space="preserve"> </w:t>
      </w:r>
      <w:r>
        <w:rPr>
          <w:i/>
          <w:iCs/>
        </w:rPr>
        <w:t xml:space="preserve">equalized odds</w:t>
      </w:r>
      <w:r>
        <w:t xml:space="preserve">, que ajusta umbrales de decisión por grupo sobre el modelo ya entrenado) y la compuerta se reevalúa (Hardt et al., 2016; Weerts et al., 2023). El atributo protegido se usa únicamente en este post-procesamiento, nunca como variable de entrada del modelo.</w:t>
      </w:r>
    </w:p>
    <w:p>
      <w:pPr>
        <w:pStyle w:val="FirstParagraph"/>
      </w:pPr>
      <w:r>
        <w:rPr>
          <w:b/>
          <w:bCs/>
        </w:rPr>
        <w:t xml:space="preserve">Contrato C4: QA Gate 4 (Deriva de datos y deriva del sesgo en producción)</w:t>
      </w:r>
    </w:p>
    <w:p>
      <w:pPr>
        <w:pStyle w:val="Compact"/>
        <w:numPr>
          <w:ilvl w:val="0"/>
          <w:numId w:val="1037"/>
        </w:numPr>
      </w:pPr>
      <w:r>
        <w:rPr>
          <w:b/>
          <w:bCs/>
        </w:rPr>
        <w:t xml:space="preserve">Naturaleza:</w:t>
      </w:r>
      <w:r>
        <w:t xml:space="preserve"> </w:t>
      </w:r>
      <w:r>
        <w:t xml:space="preserve">invariante de operación, evaluado sobre cada lote puntuado</w:t>
      </w:r>
      <w:r>
        <w:t xml:space="preserve"> </w:t>
      </w:r>
      <m:oMath>
        <m:sSub>
          <m:e>
            <m:r>
              <m:t>B</m:t>
            </m:r>
          </m:e>
          <m:sub>
            <m:r>
              <m:t>t</m:t>
            </m:r>
          </m:sub>
        </m:sSub>
      </m:oMath>
      <w:r>
        <w:t xml:space="preserve">.</w:t>
      </w:r>
    </w:p>
    <w:p>
      <w:pPr>
        <w:pStyle w:val="Compact"/>
        <w:numPr>
          <w:ilvl w:val="0"/>
          <w:numId w:val="1037"/>
        </w:numPr>
      </w:pPr>
      <w:r>
        <w:rPr>
          <w:b/>
          <w:bCs/>
        </w:rPr>
        <w:t xml:space="preserve">Deriva de datos (</w:t>
      </w:r>
      <w:r>
        <w:rPr>
          <w:rStyle w:val="VerbatimChar"/>
          <w:b/>
          <w:bCs/>
        </w:rPr>
        <w:t xml:space="preserve">warn</w:t>
      </w:r>
      <w:r>
        <w:rPr>
          <w:b/>
          <w:bCs/>
        </w:rPr>
        <w:t xml:space="preserve">):</w:t>
      </w:r>
      <w:r>
        <w:t xml:space="preserve"> </w:t>
      </w:r>
      <w:r>
        <w:t xml:space="preserve">proporción de variables cuya distribución en</w:t>
      </w:r>
      <w:r>
        <w:t xml:space="preserve"> </w:t>
      </w:r>
      <m:oMath>
        <m:sSub>
          <m:e>
            <m:r>
              <m:t>B</m:t>
            </m:r>
          </m:e>
          <m:sub>
            <m:r>
              <m:t>t</m:t>
            </m:r>
          </m:sub>
        </m:sSub>
      </m:oMath>
      <w:r>
        <w:t xml:space="preserve"> </w:t>
      </w:r>
      <w:r>
        <w:t xml:space="preserve">difiere significativamente de la de entrenamiento, según las pruebas de Evidently, menor o igual a 0,30.</w:t>
      </w:r>
    </w:p>
    <w:p>
      <w:pPr>
        <w:pStyle w:val="Compact"/>
        <w:numPr>
          <w:ilvl w:val="0"/>
          <w:numId w:val="1037"/>
        </w:numPr>
      </w:pPr>
      <w:r>
        <w:rPr>
          <w:b/>
          <w:bCs/>
        </w:rPr>
        <w:t xml:space="preserve">Deriva del sesgo (</w:t>
      </w:r>
      <w:r>
        <w:rPr>
          <w:rStyle w:val="VerbatimChar"/>
          <w:b/>
          <w:bCs/>
        </w:rPr>
        <w:t xml:space="preserve">block</w:t>
      </w:r>
      <w:r>
        <w:rPr>
          <w:b/>
          <w:bCs/>
        </w:rPr>
        <w:t xml:space="preserve">):</w:t>
      </w:r>
      <w:r>
        <w:t xml:space="preserve"> </w:t>
      </w:r>
      <w:r>
        <w:t xml:space="preserve">las reglas del C3 recalculadas sobre</w:t>
      </w:r>
      <w:r>
        <w:t xml:space="preserve"> </w:t>
      </w:r>
      <m:oMath>
        <m:sSub>
          <m:e>
            <m:r>
              <m:t>B</m:t>
            </m:r>
          </m:e>
          <m:sub>
            <m:r>
              <m:t>t</m:t>
            </m:r>
          </m:sub>
        </m:sSub>
      </m:oMath>
      <w:r>
        <w:t xml:space="preserve"> </w:t>
      </w:r>
      <w:r>
        <w:t xml:space="preserve">con las etiquetas observadas. Su incumplimiento dispara el</w:t>
      </w:r>
      <w:r>
        <w:t xml:space="preserve"> </w:t>
      </w:r>
      <w:r>
        <w:rPr>
          <w:i/>
          <w:iCs/>
        </w:rPr>
        <w:t xml:space="preserve">Trigger CT</w:t>
      </w:r>
      <w:r>
        <w:t xml:space="preserve"> </w:t>
      </w:r>
      <w:r>
        <w:t xml:space="preserve">(Reda et al., 2025).</w:t>
      </w:r>
    </w:p>
    <w:p>
      <w:pPr>
        <w:pStyle w:val="FirstParagraph"/>
      </w:pPr>
      <w:r>
        <w:rPr>
          <w:b/>
          <w:bCs/>
        </w:rPr>
        <w:t xml:space="preserve">Mecanismo de interrupción y remediación (común a C1–C4)</w:t>
      </w:r>
    </w:p>
    <w:p>
      <w:pPr>
        <w:pStyle w:val="Compact"/>
        <w:numPr>
          <w:ilvl w:val="0"/>
          <w:numId w:val="1038"/>
        </w:numPr>
      </w:pPr>
      <w:r>
        <w:t xml:space="preserve">El motor de contratos carga y valida el archivo YAML correspondiente.</w:t>
      </w:r>
    </w:p>
    <w:p>
      <w:pPr>
        <w:pStyle w:val="Compact"/>
        <w:numPr>
          <w:ilvl w:val="0"/>
          <w:numId w:val="1038"/>
        </w:numPr>
      </w:pPr>
      <w:r>
        <w:t xml:space="preserve">Pytest ejecuta una prueba por cada combinación de regla y atributo protegido, con las métricas calculadas mediante Pandera, scikit-learn y Fairlearn.</w:t>
      </w:r>
    </w:p>
    <w:p>
      <w:pPr>
        <w:pStyle w:val="Compact"/>
        <w:numPr>
          <w:ilvl w:val="0"/>
          <w:numId w:val="1038"/>
        </w:numPr>
      </w:pPr>
      <w:r>
        <w:t xml:space="preserve">Si todas las reglas</w:t>
      </w:r>
      <w:r>
        <w:t xml:space="preserve"> </w:t>
      </w:r>
      <w:r>
        <w:rPr>
          <w:rStyle w:val="VerbatimChar"/>
        </w:rPr>
        <w:t xml:space="preserve">block</w:t>
      </w:r>
      <w:r>
        <w:t xml:space="preserve"> </w:t>
      </w:r>
      <w:r>
        <w:t xml:space="preserve">se cumplen, el pipeline continúa.</w:t>
      </w:r>
    </w:p>
    <w:p>
      <w:pPr>
        <w:pStyle w:val="Compact"/>
        <w:numPr>
          <w:ilvl w:val="0"/>
          <w:numId w:val="1038"/>
        </w:numPr>
      </w:pPr>
      <w:r>
        <w:t xml:space="preserve">Si una regla</w:t>
      </w:r>
      <w:r>
        <w:t xml:space="preserve"> </w:t>
      </w:r>
      <w:r>
        <w:rPr>
          <w:rStyle w:val="VerbatimChar"/>
        </w:rPr>
        <w:t xml:space="preserve">block</w:t>
      </w:r>
      <w:r>
        <w:t xml:space="preserve"> </w:t>
      </w:r>
      <w:r>
        <w:t xml:space="preserve">se incumple: en C3 se ejecuta primero la remediación declarada; si persiste el incumplimiento, o en C1, C2 y C4, el proceso termina con</w:t>
      </w:r>
      <w:r>
        <w:t xml:space="preserve"> </w:t>
      </w:r>
      <w:r>
        <w:rPr>
          <w:b/>
          <w:bCs/>
        </w:rPr>
        <w:t xml:space="preserve">exit 1</w:t>
      </w:r>
      <w:r>
        <w:t xml:space="preserve">, el orquestador de CI/CD detiene el flujo y el resultado queda registrado en el canal de linaje (MLflow), desde donde se serializa como tripletas RDF en la Zona 4 (R.E.2.3).</w:t>
      </w:r>
    </w:p>
    <w:bookmarkEnd w:id="94"/>
    <w:bookmarkEnd w:id="95"/>
    <w:bookmarkStart w:id="100" w:name="Xaa3e852658632121e1c91564c1564b43a552eed"/>
    <w:p>
      <w:pPr>
        <w:pStyle w:val="Heading2"/>
      </w:pPr>
      <w:r>
        <w:t xml:space="preserve">4.4. Modelo conceptual de trazabilidad y gobernanza semántica</w:t>
      </w:r>
    </w:p>
    <w:bookmarkStart w:id="96" w:name="descripción-del-resultado-alcanzado-2"/>
    <w:p>
      <w:pPr>
        <w:pStyle w:val="Heading3"/>
      </w:pPr>
      <w:r>
        <w:t xml:space="preserve">4.4.1. Descripción del resultado alcanzado</w:t>
      </w:r>
    </w:p>
    <w:p>
      <w:pPr>
        <w:pStyle w:val="FirstParagraph"/>
      </w:pPr>
      <w:r>
        <w:t xml:space="preserve">El tercer resultado es el modelo conceptual del grafo de conocimiento y la</w:t>
      </w:r>
      <w:r>
        <w:t xml:space="preserve"> </w:t>
      </w:r>
      <w:r>
        <w:rPr>
          <w:b/>
          <w:bCs/>
        </w:rPr>
        <w:t xml:space="preserve">Ontología de Fairness</w:t>
      </w:r>
      <w:r>
        <w:t xml:space="preserve"> </w:t>
      </w:r>
      <w:r>
        <w:t xml:space="preserve">que estructura el linaje del sistema. En un sistema de scoring de riesgo alto no basta con interrumpir un pipeline sesgado: el Reglamento peruano exige, para estos sistemas,</w:t>
      </w:r>
      <w:r>
        <w:t xml:space="preserve"> </w:t>
      </w:r>
      <w:r>
        <w:t xml:space="preserve">“mantener un registro actualizado y accesible, con enfoque preventivo, sobre los principios del funcionamiento del sistema, las fuentes de datos utilizadas y la lógica del algoritmo”</w:t>
      </w:r>
      <w:r>
        <w:t xml:space="preserve"> </w:t>
      </w:r>
      <w:r>
        <w:t xml:space="preserve">(PCM, 2025, art. 31.1), y el Reglamento europeo exige documentación técnica y registro automático de eventos (Reglamento IA UE, 2024).</w:t>
      </w:r>
    </w:p>
    <w:p>
      <w:pPr>
        <w:pStyle w:val="BodyText"/>
      </w:pPr>
      <w:r>
        <w:t xml:space="preserve">En lugar de definir un vocabulario completamente nuevo, la ontología</w:t>
      </w:r>
      <w:r>
        <w:t xml:space="preserve"> </w:t>
      </w:r>
      <w:r>
        <w:rPr>
          <w:b/>
          <w:bCs/>
        </w:rPr>
        <w:t xml:space="preserve">reutiliza dos vocabularios del W3C</w:t>
      </w:r>
      <w:r>
        <w:t xml:space="preserve"> </w:t>
      </w:r>
      <w:r>
        <w:t xml:space="preserve">y define solo los conceptos propios del dominio:</w:t>
      </w:r>
    </w:p>
    <w:p>
      <w:pPr>
        <w:pStyle w:val="Compact"/>
        <w:numPr>
          <w:ilvl w:val="0"/>
          <w:numId w:val="1039"/>
        </w:numPr>
      </w:pPr>
      <w:r>
        <w:rPr>
          <w:b/>
          <w:bCs/>
        </w:rPr>
        <w:t xml:space="preserve">PROV-O</w:t>
      </w:r>
      <w:r>
        <w:t xml:space="preserve">, que</w:t>
      </w:r>
      <w:r>
        <w:t xml:space="preserve"> </w:t>
      </w:r>
      <w:r>
        <w:t xml:space="preserve">“expresses the PROV Data Model using the OWL2 Web Ontology Language”</w:t>
      </w:r>
      <w:r>
        <w:t xml:space="preserve"> </w:t>
      </w:r>
      <w:r>
        <w:t xml:space="preserve">(Lebo et al., 2013, Resumen), modela el linaje: qué actividad (ejecución de compuerta, entrenamiento, puntuación) usó qué entidades (lote, contrato, modelo) y cuáles generó.</w:t>
      </w:r>
    </w:p>
    <w:p>
      <w:pPr>
        <w:pStyle w:val="Compact"/>
        <w:numPr>
          <w:ilvl w:val="0"/>
          <w:numId w:val="1039"/>
        </w:numPr>
      </w:pPr>
      <w:r>
        <w:rPr>
          <w:b/>
          <w:bCs/>
        </w:rPr>
        <w:t xml:space="preserve">DQV</w:t>
      </w:r>
      <w:r>
        <w:t xml:space="preserve"> </w:t>
      </w:r>
      <w:r>
        <w:t xml:space="preserve">proporciona el concepto de medición de calidad; su clase</w:t>
      </w:r>
      <w:r>
        <w:t xml:space="preserve"> </w:t>
      </w:r>
      <w:r>
        <w:rPr>
          <w:rStyle w:val="VerbatimChar"/>
        </w:rPr>
        <w:t xml:space="preserve">dqv:QualityMeasurement</w:t>
      </w:r>
      <w:r>
        <w:t xml:space="preserve"> </w:t>
      </w:r>
      <w:r>
        <w:t xml:space="preserve">“represents the evaluation of a given dataset (or dataset distribution) against a specific quality metric”</w:t>
      </w:r>
      <w:r>
        <w:t xml:space="preserve"> </w:t>
      </w:r>
      <w:r>
        <w:t xml:space="preserve">(Albertoni &amp; Isaac, 2016, sección 4.1). Cada métrica de equidad calculada por una compuerta se representa como una medición de este tipo.</w:t>
      </w:r>
    </w:p>
    <w:p>
      <w:pPr>
        <w:pStyle w:val="Compact"/>
        <w:numPr>
          <w:ilvl w:val="0"/>
          <w:numId w:val="1039"/>
        </w:numPr>
      </w:pPr>
      <w:r>
        <w:rPr>
          <w:b/>
          <w:bCs/>
        </w:rPr>
        <w:t xml:space="preserve">SHACL</w:t>
      </w:r>
      <w:r>
        <w:t xml:space="preserve">,</w:t>
      </w:r>
      <w:r>
        <w:t xml:space="preserve"> </w:t>
      </w:r>
      <w:r>
        <w:t xml:space="preserve">“a language for validating RDF graphs against a set of conditions”</w:t>
      </w:r>
      <w:r>
        <w:t xml:space="preserve"> </w:t>
      </w:r>
      <w:r>
        <w:t xml:space="preserve">(Knublauch &amp; Kontokostas, 2017, Resumen), define las restricciones que todo registro debe cumplir antes de incorporarse al grafo.</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2963"/>
        <w:gridCol w:w="1975"/>
        <w:gridCol w:w="1358"/>
        <w:gridCol w:w="2716"/>
      </w:tblGrid>
      <w:tr>
        <w:trPr>
          <w:tblHeader w:val="on"/>
          <w:tblHeader w:val="true"/>
        </w:trPr>
        <w:tc>
          <w:tcPr>
            <w:tcW w:type="dxa" w:w="2964"/>
          </w:tcPr>
          <w:p>
            <w:pPr>
              <w:pStyle w:val="Compact"/>
              <w:spacing w:after="40"/>
              <w:jc w:val="left"/>
            </w:pPr>
            <w:r>
              <w:rPr>
                <w:b/>
                <w:sz w:val="22"/>
              </w:rPr>
              <w:t xml:space="preserve">Clase</w:t>
            </w:r>
          </w:p>
        </w:tc>
        <w:tc>
          <w:tcPr>
            <w:tcW w:type="dxa" w:w="1976"/>
          </w:tcPr>
          <w:p>
            <w:pPr>
              <w:pStyle w:val="Compact"/>
              <w:spacing w:after="40"/>
              <w:jc w:val="left"/>
            </w:pPr>
            <w:r>
              <w:rPr>
                <w:b/>
                <w:sz w:val="22"/>
              </w:rPr>
              <w:t xml:space="preserve">Descripción</w:t>
            </w:r>
          </w:p>
        </w:tc>
        <w:tc>
          <w:tcPr>
            <w:tcW w:type="dxa" w:w="1358"/>
          </w:tcPr>
          <w:p>
            <w:pPr>
              <w:pStyle w:val="Compact"/>
              <w:spacing w:after="40"/>
              <w:jc w:val="left"/>
            </w:pPr>
            <w:r>
              <w:rPr>
                <w:b/>
                <w:sz w:val="22"/>
              </w:rPr>
              <w:t xml:space="preserve">Zona de origen</w:t>
            </w:r>
          </w:p>
        </w:tc>
        <w:tc>
          <w:tcPr>
            <w:tcW w:type="dxa" w:w="2717"/>
          </w:tcPr>
          <w:p>
            <w:pPr>
              <w:pStyle w:val="Compact"/>
              <w:spacing w:after="40"/>
              <w:jc w:val="left"/>
            </w:pPr>
            <w:r>
              <w:rPr>
                <w:b/>
                <w:sz w:val="22"/>
              </w:rPr>
              <w:t xml:space="preserve">Vocabulario base</w:t>
            </w:r>
          </w:p>
        </w:tc>
      </w:tr>
      <w:tr>
        <w:tc>
          <w:tcPr>
            <w:tcW w:type="dxa" w:w="2964"/>
          </w:tcPr>
          <w:p>
            <w:pPr>
              <w:pStyle w:val="Compact"/>
              <w:spacing w:after="40"/>
              <w:jc w:val="left"/>
            </w:pPr>
            <w:r>
              <w:rPr>
                <w:rStyle w:val="VerbatimChar"/>
                <w:sz w:val="22"/>
              </w:rPr>
              <w:t xml:space="preserve">fair:DataBatch</w:t>
            </w:r>
          </w:p>
        </w:tc>
        <w:tc>
          <w:tcPr>
            <w:tcW w:type="dxa" w:w="1976"/>
          </w:tcPr>
          <w:p>
            <w:pPr>
              <w:pStyle w:val="Compact"/>
              <w:spacing w:after="40"/>
              <w:jc w:val="left"/>
            </w:pPr>
            <w:r>
              <w:rPr>
                <w:sz w:val="22"/>
              </w:rPr>
              <w:t xml:space="preserve">Lote de datos identificado por su hash de versión (DVC)</w:t>
            </w:r>
          </w:p>
        </w:tc>
        <w:tc>
          <w:tcPr>
            <w:tcW w:type="dxa" w:w="1358"/>
          </w:tcPr>
          <w:p>
            <w:pPr>
              <w:pStyle w:val="Compact"/>
              <w:spacing w:after="40"/>
              <w:jc w:val="left"/>
            </w:pPr>
            <w:r>
              <w:rPr>
                <w:sz w:val="22"/>
              </w:rPr>
              <w:t xml:space="preserve">Zona 1</w:t>
            </w:r>
          </w:p>
        </w:tc>
        <w:tc>
          <w:tcPr>
            <w:tcW w:type="dxa" w:w="2717"/>
          </w:tcPr>
          <w:p>
            <w:pPr>
              <w:pStyle w:val="Compact"/>
              <w:spacing w:after="40"/>
              <w:jc w:val="left"/>
            </w:pPr>
            <w:r>
              <w:rPr>
                <w:rStyle w:val="VerbatimChar"/>
                <w:sz w:val="22"/>
              </w:rPr>
              <w:t xml:space="preserve">prov:Entity</w:t>
            </w:r>
          </w:p>
        </w:tc>
      </w:tr>
      <w:tr>
        <w:tc>
          <w:tcPr>
            <w:tcW w:type="dxa" w:w="2964"/>
          </w:tcPr>
          <w:p>
            <w:pPr>
              <w:pStyle w:val="Compact"/>
              <w:spacing w:after="40"/>
              <w:jc w:val="left"/>
            </w:pPr>
            <w:r>
              <w:rPr>
                <w:rStyle w:val="VerbatimChar"/>
                <w:sz w:val="22"/>
              </w:rPr>
              <w:t xml:space="preserve">fair:TransformationStep</w:t>
            </w:r>
          </w:p>
        </w:tc>
        <w:tc>
          <w:tcPr>
            <w:tcW w:type="dxa" w:w="1976"/>
          </w:tcPr>
          <w:p>
            <w:pPr>
              <w:pStyle w:val="Compact"/>
              <w:spacing w:after="40"/>
              <w:jc w:val="left"/>
            </w:pPr>
            <w:r>
              <w:rPr>
                <w:sz w:val="22"/>
              </w:rPr>
              <w:t xml:space="preserve">Paso de preprocesamiento (imputación, escalado, codificación)</w:t>
            </w:r>
          </w:p>
        </w:tc>
        <w:tc>
          <w:tcPr>
            <w:tcW w:type="dxa" w:w="1358"/>
          </w:tcPr>
          <w:p>
            <w:pPr>
              <w:pStyle w:val="Compact"/>
              <w:spacing w:after="40"/>
              <w:jc w:val="left"/>
            </w:pPr>
            <w:r>
              <w:rPr>
                <w:sz w:val="22"/>
              </w:rPr>
              <w:t xml:space="preserve">Zona 1</w:t>
            </w:r>
          </w:p>
        </w:tc>
        <w:tc>
          <w:tcPr>
            <w:tcW w:type="dxa" w:w="2717"/>
          </w:tcPr>
          <w:p>
            <w:pPr>
              <w:pStyle w:val="Compact"/>
              <w:spacing w:after="40"/>
              <w:jc w:val="left"/>
            </w:pPr>
            <w:r>
              <w:rPr>
                <w:rStyle w:val="VerbatimChar"/>
                <w:sz w:val="22"/>
              </w:rPr>
              <w:t xml:space="preserve">prov:Activity</w:t>
            </w:r>
          </w:p>
        </w:tc>
      </w:tr>
      <w:tr>
        <w:tc>
          <w:tcPr>
            <w:tcW w:type="dxa" w:w="2964"/>
          </w:tcPr>
          <w:p>
            <w:pPr>
              <w:pStyle w:val="Compact"/>
              <w:spacing w:after="40"/>
              <w:jc w:val="left"/>
            </w:pPr>
            <w:r>
              <w:rPr>
                <w:rStyle w:val="VerbatimChar"/>
                <w:sz w:val="22"/>
              </w:rPr>
              <w:t xml:space="preserve">fair:FairnessContract</w:t>
            </w:r>
          </w:p>
        </w:tc>
        <w:tc>
          <w:tcPr>
            <w:tcW w:type="dxa" w:w="1976"/>
          </w:tcPr>
          <w:p>
            <w:pPr>
              <w:pStyle w:val="Compact"/>
              <w:spacing w:after="40"/>
              <w:jc w:val="left"/>
            </w:pPr>
            <w:r>
              <w:rPr>
                <w:sz w:val="22"/>
              </w:rPr>
              <w:t xml:space="preserve">Contrato de equidad versionado (C1–C4)</w:t>
            </w:r>
          </w:p>
        </w:tc>
        <w:tc>
          <w:tcPr>
            <w:tcW w:type="dxa" w:w="1358"/>
          </w:tcPr>
          <w:p>
            <w:pPr>
              <w:pStyle w:val="Compact"/>
              <w:spacing w:after="40"/>
              <w:jc w:val="left"/>
            </w:pPr>
            <w:r>
              <w:rPr>
                <w:sz w:val="22"/>
              </w:rPr>
              <w:t xml:space="preserve">Transversal</w:t>
            </w:r>
          </w:p>
        </w:tc>
        <w:tc>
          <w:tcPr>
            <w:tcW w:type="dxa" w:w="2717"/>
          </w:tcPr>
          <w:p>
            <w:pPr>
              <w:pStyle w:val="Compact"/>
              <w:spacing w:after="40"/>
              <w:jc w:val="left"/>
            </w:pPr>
            <w:r>
              <w:rPr>
                <w:rStyle w:val="VerbatimChar"/>
                <w:sz w:val="22"/>
              </w:rPr>
              <w:t xml:space="preserve">prov:Entity</w:t>
            </w:r>
          </w:p>
        </w:tc>
      </w:tr>
      <w:tr>
        <w:tc>
          <w:tcPr>
            <w:tcW w:type="dxa" w:w="2964"/>
          </w:tcPr>
          <w:p>
            <w:pPr>
              <w:pStyle w:val="Compact"/>
              <w:spacing w:after="40"/>
              <w:jc w:val="left"/>
            </w:pPr>
            <w:r>
              <w:rPr>
                <w:rStyle w:val="VerbatimChar"/>
                <w:sz w:val="22"/>
              </w:rPr>
              <w:t xml:space="preserve">fair:Rule</w:t>
            </w:r>
          </w:p>
        </w:tc>
        <w:tc>
          <w:tcPr>
            <w:tcW w:type="dxa" w:w="1976"/>
          </w:tcPr>
          <w:p>
            <w:pPr>
              <w:pStyle w:val="Compact"/>
              <w:spacing w:after="40"/>
              <w:jc w:val="left"/>
            </w:pPr>
            <w:r>
              <w:rPr>
                <w:sz w:val="22"/>
              </w:rPr>
              <w:t xml:space="preserve">Regla de un contrato: métrica, operador, umbral y severidad</w:t>
            </w:r>
          </w:p>
        </w:tc>
        <w:tc>
          <w:tcPr>
            <w:tcW w:type="dxa" w:w="1358"/>
          </w:tcPr>
          <w:p>
            <w:pPr>
              <w:pStyle w:val="Compact"/>
              <w:spacing w:after="40"/>
              <w:jc w:val="left"/>
            </w:pPr>
            <w:r>
              <w:rPr>
                <w:sz w:val="22"/>
              </w:rPr>
              <w:t xml:space="preserve">Transversal</w:t>
            </w:r>
          </w:p>
        </w:tc>
        <w:tc>
          <w:tcPr>
            <w:tcW w:type="dxa" w:w="2717"/>
          </w:tcPr>
          <w:p>
            <w:pPr>
              <w:pStyle w:val="Compact"/>
              <w:spacing w:after="40"/>
              <w:jc w:val="left"/>
            </w:pPr>
            <w:r>
              <w:rPr>
                <w:rStyle w:val="VerbatimChar"/>
                <w:sz w:val="22"/>
              </w:rPr>
              <w:t xml:space="preserve">prov:Entity</w:t>
            </w:r>
          </w:p>
        </w:tc>
      </w:tr>
      <w:tr>
        <w:tc>
          <w:tcPr>
            <w:tcW w:type="dxa" w:w="2964"/>
          </w:tcPr>
          <w:p>
            <w:pPr>
              <w:pStyle w:val="Compact"/>
              <w:spacing w:after="40"/>
              <w:jc w:val="left"/>
            </w:pPr>
            <w:r>
              <w:rPr>
                <w:rStyle w:val="VerbatimChar"/>
                <w:sz w:val="22"/>
              </w:rPr>
              <w:t xml:space="preserve">fair:ProtectedAttribute</w:t>
            </w:r>
          </w:p>
        </w:tc>
        <w:tc>
          <w:tcPr>
            <w:tcW w:type="dxa" w:w="1976"/>
          </w:tcPr>
          <w:p>
            <w:pPr>
              <w:pStyle w:val="Compact"/>
              <w:spacing w:after="40"/>
              <w:jc w:val="left"/>
            </w:pPr>
            <w:r>
              <w:rPr>
                <w:sz w:val="22"/>
              </w:rPr>
              <w:t xml:space="preserve">Atributo protegido y sus grupos (ej.</w:t>
            </w:r>
            <w:r>
              <w:rPr>
                <w:sz w:val="22"/>
              </w:rPr>
              <w:t xml:space="preserve"> </w:t>
            </w:r>
            <w:r>
              <w:rPr>
                <w:rStyle w:val="VerbatimChar"/>
                <w:sz w:val="22"/>
              </w:rPr>
              <w:t xml:space="preserve">Sex</w:t>
            </w:r>
            <w:r>
              <w:rPr>
                <w:sz w:val="22"/>
              </w:rPr>
              <w:t xml:space="preserve">,</w:t>
            </w:r>
            <w:r>
              <w:rPr>
                <w:sz w:val="22"/>
              </w:rPr>
              <w:t xml:space="preserve"> </w:t>
            </w:r>
            <w:r>
              <w:rPr>
                <w:rStyle w:val="VerbatimChar"/>
                <w:sz w:val="22"/>
              </w:rPr>
              <w:t xml:space="preserve">Age_group</w:t>
            </w:r>
            <w:r>
              <w:rPr>
                <w:sz w:val="22"/>
              </w:rPr>
              <w:t xml:space="preserve">)</w:t>
            </w:r>
          </w:p>
        </w:tc>
        <w:tc>
          <w:tcPr>
            <w:tcW w:type="dxa" w:w="1358"/>
          </w:tcPr>
          <w:p>
            <w:pPr>
              <w:pStyle w:val="Compact"/>
              <w:spacing w:after="40"/>
              <w:jc w:val="left"/>
            </w:pPr>
            <w:r>
              <w:rPr>
                <w:sz w:val="22"/>
              </w:rPr>
              <w:t xml:space="preserve">Transversal</w:t>
            </w:r>
          </w:p>
        </w:tc>
        <w:tc>
          <w:tcPr>
            <w:tcW w:type="dxa" w:w="2717"/>
          </w:tcPr>
          <w:p>
            <w:pPr>
              <w:pStyle w:val="Compact"/>
              <w:spacing w:after="40"/>
              <w:jc w:val="left"/>
            </w:pPr>
            <w:r>
              <w:rPr>
                <w:rStyle w:val="VerbatimChar"/>
                <w:sz w:val="22"/>
              </w:rPr>
              <w:t xml:space="preserve">prov:Entity</w:t>
            </w:r>
          </w:p>
        </w:tc>
      </w:tr>
      <w:tr>
        <w:tc>
          <w:tcPr>
            <w:tcW w:type="dxa" w:w="2964"/>
          </w:tcPr>
          <w:p>
            <w:pPr>
              <w:pStyle w:val="Compact"/>
              <w:spacing w:after="40"/>
              <w:jc w:val="left"/>
            </w:pPr>
            <w:r>
              <w:rPr>
                <w:rStyle w:val="VerbatimChar"/>
                <w:sz w:val="22"/>
              </w:rPr>
              <w:t xml:space="preserve">fair:GateExecution</w:t>
            </w:r>
          </w:p>
        </w:tc>
        <w:tc>
          <w:tcPr>
            <w:tcW w:type="dxa" w:w="1976"/>
          </w:tcPr>
          <w:p>
            <w:pPr>
              <w:pStyle w:val="Compact"/>
              <w:spacing w:after="40"/>
              <w:jc w:val="left"/>
            </w:pPr>
            <w:r>
              <w:rPr>
                <w:sz w:val="22"/>
              </w:rPr>
              <w:t xml:space="preserve">Ejecución de una compuerta sobre un lote o modelo, con resultado Pasa/Falla</w:t>
            </w:r>
          </w:p>
        </w:tc>
        <w:tc>
          <w:tcPr>
            <w:tcW w:type="dxa" w:w="1358"/>
          </w:tcPr>
          <w:p>
            <w:pPr>
              <w:pStyle w:val="Compact"/>
              <w:spacing w:after="40"/>
              <w:jc w:val="left"/>
            </w:pPr>
            <w:r>
              <w:rPr>
                <w:sz w:val="22"/>
              </w:rPr>
              <w:t xml:space="preserve">Zonas 1–3</w:t>
            </w:r>
          </w:p>
        </w:tc>
        <w:tc>
          <w:tcPr>
            <w:tcW w:type="dxa" w:w="2717"/>
          </w:tcPr>
          <w:p>
            <w:pPr>
              <w:pStyle w:val="Compact"/>
              <w:spacing w:after="40"/>
              <w:jc w:val="left"/>
            </w:pPr>
            <w:r>
              <w:rPr>
                <w:rStyle w:val="VerbatimChar"/>
                <w:sz w:val="22"/>
              </w:rPr>
              <w:t xml:space="preserve">prov:Activity</w:t>
            </w:r>
          </w:p>
        </w:tc>
      </w:tr>
      <w:tr>
        <w:tc>
          <w:tcPr>
            <w:tcW w:type="dxa" w:w="2964"/>
          </w:tcPr>
          <w:p>
            <w:pPr>
              <w:pStyle w:val="Compact"/>
              <w:spacing w:after="40"/>
              <w:jc w:val="left"/>
            </w:pPr>
            <w:r>
              <w:rPr>
                <w:rStyle w:val="VerbatimChar"/>
                <w:sz w:val="22"/>
              </w:rPr>
              <w:t xml:space="preserve">fair:FairnessMeasurement</w:t>
            </w:r>
          </w:p>
        </w:tc>
        <w:tc>
          <w:tcPr>
            <w:tcW w:type="dxa" w:w="1976"/>
          </w:tcPr>
          <w:p>
            <w:pPr>
              <w:pStyle w:val="Compact"/>
              <w:spacing w:after="40"/>
              <w:jc w:val="left"/>
            </w:pPr>
            <w:r>
              <w:rPr>
                <w:sz w:val="22"/>
              </w:rPr>
              <w:t xml:space="preserve">Valor de una métrica para una regla y un atributo, con su intervalo de confianza</w:t>
            </w:r>
          </w:p>
        </w:tc>
        <w:tc>
          <w:tcPr>
            <w:tcW w:type="dxa" w:w="1358"/>
          </w:tcPr>
          <w:p>
            <w:pPr>
              <w:pStyle w:val="Compact"/>
              <w:spacing w:after="40"/>
              <w:jc w:val="left"/>
            </w:pPr>
            <w:r>
              <w:rPr>
                <w:sz w:val="22"/>
              </w:rPr>
              <w:t xml:space="preserve">Zonas 1–3</w:t>
            </w:r>
          </w:p>
        </w:tc>
        <w:tc>
          <w:tcPr>
            <w:tcW w:type="dxa" w:w="2717"/>
          </w:tcPr>
          <w:p>
            <w:pPr>
              <w:pStyle w:val="Compact"/>
              <w:spacing w:after="40"/>
              <w:jc w:val="left"/>
            </w:pPr>
            <w:r>
              <w:rPr>
                <w:rStyle w:val="VerbatimChar"/>
                <w:sz w:val="22"/>
              </w:rPr>
              <w:t xml:space="preserve">dqv:QualityMeasurement</w:t>
            </w:r>
          </w:p>
        </w:tc>
      </w:tr>
      <w:tr>
        <w:tc>
          <w:tcPr>
            <w:tcW w:type="dxa" w:w="2964"/>
          </w:tcPr>
          <w:p>
            <w:pPr>
              <w:pStyle w:val="Compact"/>
              <w:spacing w:after="40"/>
              <w:jc w:val="left"/>
            </w:pPr>
            <w:r>
              <w:rPr>
                <w:rStyle w:val="VerbatimChar"/>
                <w:sz w:val="22"/>
              </w:rPr>
              <w:t xml:space="preserve">fair:ModelVersion</w:t>
            </w:r>
          </w:p>
        </w:tc>
        <w:tc>
          <w:tcPr>
            <w:tcW w:type="dxa" w:w="1976"/>
          </w:tcPr>
          <w:p>
            <w:pPr>
              <w:pStyle w:val="Compact"/>
              <w:spacing w:after="40"/>
              <w:jc w:val="left"/>
            </w:pPr>
            <w:r>
              <w:rPr>
                <w:sz w:val="22"/>
              </w:rPr>
              <w:t xml:space="preserve">Versión de un clasificador (base o remediado) registrada en MLflow</w:t>
            </w:r>
          </w:p>
        </w:tc>
        <w:tc>
          <w:tcPr>
            <w:tcW w:type="dxa" w:w="1358"/>
          </w:tcPr>
          <w:p>
            <w:pPr>
              <w:pStyle w:val="Compact"/>
              <w:spacing w:after="40"/>
              <w:jc w:val="left"/>
            </w:pPr>
            <w:r>
              <w:rPr>
                <w:sz w:val="22"/>
              </w:rPr>
              <w:t xml:space="preserve">Zona 2</w:t>
            </w:r>
          </w:p>
        </w:tc>
        <w:tc>
          <w:tcPr>
            <w:tcW w:type="dxa" w:w="2717"/>
          </w:tcPr>
          <w:p>
            <w:pPr>
              <w:pStyle w:val="Compact"/>
              <w:spacing w:after="40"/>
              <w:jc w:val="left"/>
            </w:pPr>
            <w:r>
              <w:rPr>
                <w:rStyle w:val="VerbatimChar"/>
                <w:sz w:val="22"/>
              </w:rPr>
              <w:t xml:space="preserve">prov:Entity</w:t>
            </w:r>
          </w:p>
        </w:tc>
      </w:tr>
      <w:tr>
        <w:tc>
          <w:tcPr>
            <w:tcW w:type="dxa" w:w="2964"/>
          </w:tcPr>
          <w:p>
            <w:pPr>
              <w:pStyle w:val="Compact"/>
              <w:spacing w:after="40"/>
              <w:jc w:val="left"/>
            </w:pPr>
            <w:r>
              <w:rPr>
                <w:rStyle w:val="VerbatimChar"/>
                <w:sz w:val="22"/>
              </w:rPr>
              <w:t xml:space="preserve">fair:Remediation</w:t>
            </w:r>
          </w:p>
        </w:tc>
        <w:tc>
          <w:tcPr>
            <w:tcW w:type="dxa" w:w="1976"/>
          </w:tcPr>
          <w:p>
            <w:pPr>
              <w:pStyle w:val="Compact"/>
              <w:spacing w:after="40"/>
              <w:jc w:val="left"/>
            </w:pPr>
            <w:r>
              <w:rPr>
                <w:sz w:val="22"/>
              </w:rPr>
              <w:t xml:space="preserve">Aplicación de una técnica de mitigación a un modelo</w:t>
            </w:r>
          </w:p>
        </w:tc>
        <w:tc>
          <w:tcPr>
            <w:tcW w:type="dxa" w:w="1358"/>
          </w:tcPr>
          <w:p>
            <w:pPr>
              <w:pStyle w:val="Compact"/>
              <w:spacing w:after="40"/>
              <w:jc w:val="left"/>
            </w:pPr>
            <w:r>
              <w:rPr>
                <w:sz w:val="22"/>
              </w:rPr>
              <w:t xml:space="preserve">Zona 2</w:t>
            </w:r>
          </w:p>
        </w:tc>
        <w:tc>
          <w:tcPr>
            <w:tcW w:type="dxa" w:w="2717"/>
          </w:tcPr>
          <w:p>
            <w:pPr>
              <w:pStyle w:val="Compact"/>
              <w:spacing w:after="40"/>
              <w:jc w:val="left"/>
            </w:pPr>
            <w:r>
              <w:rPr>
                <w:rStyle w:val="VerbatimChar"/>
                <w:sz w:val="22"/>
              </w:rPr>
              <w:t xml:space="preserve">prov:Activity</w:t>
            </w:r>
          </w:p>
        </w:tc>
      </w:tr>
      <w:tr>
        <w:tc>
          <w:tcPr>
            <w:tcW w:type="dxa" w:w="2964"/>
          </w:tcPr>
          <w:p>
            <w:pPr>
              <w:pStyle w:val="Compact"/>
              <w:spacing w:after="40"/>
              <w:jc w:val="left"/>
            </w:pPr>
            <w:r>
              <w:rPr>
                <w:rStyle w:val="VerbatimChar"/>
                <w:sz w:val="22"/>
              </w:rPr>
              <w:t xml:space="preserve">fair:AdverseActionReason</w:t>
            </w:r>
          </w:p>
        </w:tc>
        <w:tc>
          <w:tcPr>
            <w:tcW w:type="dxa" w:w="1976"/>
          </w:tcPr>
          <w:p>
            <w:pPr>
              <w:pStyle w:val="Compact"/>
              <w:spacing w:after="40"/>
              <w:jc w:val="left"/>
            </w:pPr>
            <w:r>
              <w:rPr>
                <w:sz w:val="22"/>
              </w:rPr>
              <w:t xml:space="preserve">Razón de rechazo generada para un solicitante seudonimizado</w:t>
            </w:r>
          </w:p>
        </w:tc>
        <w:tc>
          <w:tcPr>
            <w:tcW w:type="dxa" w:w="1358"/>
          </w:tcPr>
          <w:p>
            <w:pPr>
              <w:pStyle w:val="Compact"/>
              <w:spacing w:after="40"/>
              <w:jc w:val="left"/>
            </w:pPr>
            <w:r>
              <w:rPr>
                <w:sz w:val="22"/>
              </w:rPr>
              <w:t xml:space="preserve">Zona 3</w:t>
            </w:r>
          </w:p>
        </w:tc>
        <w:tc>
          <w:tcPr>
            <w:tcW w:type="dxa" w:w="2717"/>
          </w:tcPr>
          <w:p>
            <w:pPr>
              <w:pStyle w:val="Compact"/>
              <w:spacing w:after="40"/>
              <w:jc w:val="left"/>
            </w:pPr>
            <w:r>
              <w:rPr>
                <w:rStyle w:val="VerbatimChar"/>
                <w:sz w:val="22"/>
              </w:rPr>
              <w:t xml:space="preserve">prov:Entity</w:t>
            </w:r>
          </w:p>
        </w:tc>
      </w:tr>
      <w:tr>
        <w:tc>
          <w:tcPr>
            <w:tcW w:type="dxa" w:w="2964"/>
          </w:tcPr>
          <w:p>
            <w:pPr>
              <w:pStyle w:val="Compact"/>
              <w:spacing w:after="40"/>
              <w:jc w:val="left"/>
            </w:pPr>
            <w:r>
              <w:rPr>
                <w:rStyle w:val="VerbatimChar"/>
                <w:sz w:val="22"/>
              </w:rPr>
              <w:t xml:space="preserve">fair:DriftAlert</w:t>
            </w:r>
          </w:p>
        </w:tc>
        <w:tc>
          <w:tcPr>
            <w:tcW w:type="dxa" w:w="1976"/>
          </w:tcPr>
          <w:p>
            <w:pPr>
              <w:pStyle w:val="Compact"/>
              <w:spacing w:after="40"/>
              <w:jc w:val="left"/>
            </w:pPr>
            <w:r>
              <w:rPr>
                <w:sz w:val="22"/>
              </w:rPr>
              <w:t xml:space="preserve">Alerta de deriva de datos o del sesgo sobre un lote</w:t>
            </w:r>
          </w:p>
        </w:tc>
        <w:tc>
          <w:tcPr>
            <w:tcW w:type="dxa" w:w="1358"/>
          </w:tcPr>
          <w:p>
            <w:pPr>
              <w:pStyle w:val="Compact"/>
              <w:spacing w:after="40"/>
              <w:jc w:val="left"/>
            </w:pPr>
            <w:r>
              <w:rPr>
                <w:sz w:val="22"/>
              </w:rPr>
              <w:t xml:space="preserve">Zona 3</w:t>
            </w:r>
          </w:p>
        </w:tc>
        <w:tc>
          <w:tcPr>
            <w:tcW w:type="dxa" w:w="2717"/>
          </w:tcPr>
          <w:p>
            <w:pPr>
              <w:pStyle w:val="Compact"/>
              <w:spacing w:after="40"/>
              <w:jc w:val="left"/>
            </w:pPr>
            <w:r>
              <w:rPr>
                <w:rStyle w:val="VerbatimChar"/>
                <w:sz w:val="22"/>
              </w:rPr>
              <w:t xml:space="preserve">prov:Entity</w:t>
            </w:r>
          </w:p>
        </w:tc>
      </w:tr>
      <w:tr>
        <w:tc>
          <w:tcPr>
            <w:tcW w:type="dxa" w:w="2964"/>
          </w:tcPr>
          <w:p>
            <w:pPr>
              <w:pStyle w:val="Compact"/>
              <w:spacing w:after="40"/>
              <w:jc w:val="left"/>
            </w:pPr>
            <w:r>
              <w:rPr>
                <w:rStyle w:val="VerbatimChar"/>
                <w:sz w:val="22"/>
              </w:rPr>
              <w:t xml:space="preserve">fair:ComplianceReport</w:t>
            </w:r>
          </w:p>
        </w:tc>
        <w:tc>
          <w:tcPr>
            <w:tcW w:type="dxa" w:w="1976"/>
          </w:tcPr>
          <w:p>
            <w:pPr>
              <w:pStyle w:val="Compact"/>
              <w:spacing w:after="40"/>
              <w:jc w:val="left"/>
            </w:pPr>
            <w:r>
              <w:rPr>
                <w:sz w:val="22"/>
              </w:rPr>
              <w:t xml:space="preserve">Reporte de cumplimiento generado a partir del grafo</w:t>
            </w:r>
          </w:p>
        </w:tc>
        <w:tc>
          <w:tcPr>
            <w:tcW w:type="dxa" w:w="1358"/>
          </w:tcPr>
          <w:p>
            <w:pPr>
              <w:pStyle w:val="Compact"/>
              <w:spacing w:after="40"/>
              <w:jc w:val="left"/>
            </w:pPr>
            <w:r>
              <w:rPr>
                <w:sz w:val="22"/>
              </w:rPr>
              <w:t xml:space="preserve">Zona 4</w:t>
            </w:r>
          </w:p>
        </w:tc>
        <w:tc>
          <w:tcPr>
            <w:tcW w:type="dxa" w:w="2717"/>
          </w:tcPr>
          <w:p>
            <w:pPr>
              <w:pStyle w:val="Compact"/>
              <w:spacing w:after="40"/>
              <w:jc w:val="left"/>
            </w:pPr>
            <w:r>
              <w:rPr>
                <w:rStyle w:val="VerbatimChar"/>
                <w:sz w:val="22"/>
              </w:rPr>
              <w:t xml:space="preserve">prov:Entity</w:t>
            </w:r>
          </w:p>
        </w:tc>
      </w:tr>
    </w:tbl>
    <w:p>
      <w:pPr>
        <w:pStyle w:val="BodyText"/>
        <w:keepNext w:val="0"/>
        <w:jc w:val="center"/>
      </w:pPr>
      <w:r>
        <w:rPr>
          <w:b/>
          <w:bCs/>
        </w:rPr>
        <w:t xml:space="preserve">Tabla 12: Taxonomía de clases de la Ontología de Fairness</w:t>
      </w:r>
    </w:p>
    <w:bookmarkEnd w:id="96"/>
    <w:bookmarkStart w:id="97" w:name="X4c72067653ef01079bd3b360ce63e848c231c31"/>
    <w:p>
      <w:pPr>
        <w:pStyle w:val="Heading3"/>
      </w:pPr>
      <w:r>
        <w:t xml:space="preserve">4.4.2. Metodología de logro y reproducibilidad</w:t>
      </w:r>
    </w:p>
    <w:p>
      <w:pPr>
        <w:pStyle w:val="FirstParagraph"/>
      </w:pPr>
      <w:r>
        <w:t xml:space="preserve">El modelado se basó en la metodología de ingeniería ontológica de Noy y McGuinness (2001), en cuatro pasos:</w:t>
      </w:r>
    </w:p>
    <w:p>
      <w:pPr>
        <w:pStyle w:val="Compact"/>
        <w:numPr>
          <w:ilvl w:val="0"/>
          <w:numId w:val="1040"/>
        </w:numPr>
      </w:pPr>
      <w:r>
        <w:rPr>
          <w:b/>
          <w:bCs/>
        </w:rPr>
        <w:t xml:space="preserve">Determinación del alcance mediante preguntas de competencia:</w:t>
      </w:r>
      <w:r>
        <w:t xml:space="preserve"> </w:t>
      </w:r>
      <w:r>
        <w:t xml:space="preserve">la ontología debe permitir responder, entre otras: (PC1) ¿qué contrato y regla bloquearon un modelo, con qué valor e intervalo?; (PC2) ¿con qué lote (hash) se entrenó el modelo aprobado?; (PC3) ¿qué razones de rechazo se comunicaron a un solicitante?; (PC4) ¿qué alertas de deriva del sesgo ocurrieron en un periodo?; (PC5) ¿cuál fue la diferencia de exactitud y de equidad entre el modelo base y el remediado?</w:t>
      </w:r>
    </w:p>
    <w:p>
      <w:pPr>
        <w:pStyle w:val="Compact"/>
        <w:numPr>
          <w:ilvl w:val="0"/>
          <w:numId w:val="1040"/>
        </w:numPr>
      </w:pPr>
      <w:r>
        <w:rPr>
          <w:b/>
          <w:bCs/>
        </w:rPr>
        <w:t xml:space="preserve">Reutilización de ontologías existentes:</w:t>
      </w:r>
      <w:r>
        <w:t xml:space="preserve"> </w:t>
      </w:r>
      <w:r>
        <w:t xml:space="preserve">se incorporaron PROV-O y DQV como vocabularios base, conforme a la recomendación de reutilizar vocabularios establecidos (Noy &amp; McGuinness, 2001; Russo &amp; Vidal, 2025).</w:t>
      </w:r>
    </w:p>
    <w:p>
      <w:pPr>
        <w:pStyle w:val="Compact"/>
        <w:numPr>
          <w:ilvl w:val="0"/>
          <w:numId w:val="1040"/>
        </w:numPr>
      </w:pPr>
      <w:r>
        <w:rPr>
          <w:b/>
          <w:bCs/>
        </w:rPr>
        <w:t xml:space="preserve">Definición de clases, propiedades y restricciones:</w:t>
      </w:r>
      <w:r>
        <w:t xml:space="preserve"> </w:t>
      </w:r>
      <w:r>
        <w:t xml:space="preserve">se definieron las clases propias (Tabla 12), las propiedades de objeto y de datos (Tabla 13) y las formas SHACL que garantizan la completitud de cada registro.</w:t>
      </w:r>
    </w:p>
    <w:p>
      <w:pPr>
        <w:pStyle w:val="Compact"/>
        <w:numPr>
          <w:ilvl w:val="0"/>
          <w:numId w:val="1040"/>
        </w:numPr>
      </w:pPr>
      <w:r>
        <w:rPr>
          <w:b/>
          <w:bCs/>
        </w:rPr>
        <w:t xml:space="preserve">Validación:</w:t>
      </w:r>
      <w:r>
        <w:t xml:space="preserve"> </w:t>
      </w:r>
      <w:r>
        <w:t xml:space="preserve">cada grafo exportado se valida contra las formas SHACL y se comprueba que las cinco preguntas de competencia se respondan con consultas SPARQL.</w:t>
      </w:r>
    </w:p>
    <w:p>
      <w:pPr>
        <w:pStyle w:val="FirstParagraph"/>
      </w:pPr>
      <w:r>
        <w:t xml:space="preserve">La siguiente consulta responde la PC1 para el atributo</w:t>
      </w:r>
      <w:r>
        <w:t xml:space="preserve"> </w:t>
      </w:r>
      <w:r>
        <w:rPr>
          <w:rStyle w:val="VerbatimChar"/>
        </w:rPr>
        <w:t xml:space="preserve">Sex</w:t>
      </w:r>
      <w:r>
        <w:t xml:space="preserve"> </w:t>
      </w:r>
      <w:r>
        <w:t xml:space="preserve">en las ejecuciones recientes:</w:t>
      </w:r>
    </w:p>
    <w:p>
      <w:pPr>
        <w:pStyle w:val="SourceCode"/>
      </w:pPr>
      <w:r>
        <w:rPr>
          <w:rStyle w:val="VerbatimChar"/>
        </w:rPr>
        <w:t xml:space="preserve">PREFIX fair: &lt;https://pucp.edu.pe/ontology/fair#&gt;</w:t>
      </w:r>
      <w:r>
        <w:br/>
      </w:r>
      <w:r>
        <w:rPr>
          <w:rStyle w:val="VerbatimChar"/>
        </w:rPr>
        <w:t xml:space="preserve">PREFIX prov: &lt;http://www.w3.org/ns/prov#&gt;</w:t>
      </w:r>
      <w:r>
        <w:br/>
      </w:r>
      <w:r>
        <w:rPr>
          <w:rStyle w:val="VerbatimChar"/>
        </w:rPr>
        <w:t xml:space="preserve">PREFIX dqv:  &lt;http://www.w3.org/ns/dqv#&gt;</w:t>
      </w:r>
      <w:r>
        <w:br/>
      </w:r>
      <w:r>
        <w:rPr>
          <w:rStyle w:val="VerbatimChar"/>
        </w:rPr>
        <w:t xml:space="preserve">PREFIX xsd:  &lt;http://www.w3.org/2001/XMLSchema#&gt;</w:t>
      </w:r>
      <w:r>
        <w:br/>
      </w:r>
      <w:r>
        <w:br/>
      </w:r>
      <w:r>
        <w:rPr>
          <w:rStyle w:val="VerbatimChar"/>
        </w:rPr>
        <w:t xml:space="preserve">SELECT ?execution ?contractId ?ruleId ?value ?ciLow ?ciHigh ?threshold ?model ?timestamp</w:t>
      </w:r>
      <w:r>
        <w:br/>
      </w:r>
      <w:r>
        <w:rPr>
          <w:rStyle w:val="VerbatimChar"/>
        </w:rPr>
        <w:t xml:space="preserve">WHERE {</w:t>
      </w:r>
      <w:r>
        <w:br/>
      </w:r>
      <w:r>
        <w:rPr>
          <w:rStyle w:val="VerbatimChar"/>
        </w:rPr>
        <w:t xml:space="preserve">    # 1. Ejecuciones de compuerta que fallaron</w:t>
      </w:r>
      <w:r>
        <w:br/>
      </w:r>
      <w:r>
        <w:rPr>
          <w:rStyle w:val="VerbatimChar"/>
        </w:rPr>
        <w:t xml:space="preserve">    ?execution a fair:GateExecution ;</w:t>
      </w:r>
      <w:r>
        <w:br/>
      </w:r>
      <w:r>
        <w:rPr>
          <w:rStyle w:val="VerbatimChar"/>
        </w:rPr>
        <w:t xml:space="preserve">               fair:gatePassed false ;</w:t>
      </w:r>
      <w:r>
        <w:br/>
      </w:r>
      <w:r>
        <w:rPr>
          <w:rStyle w:val="VerbatimChar"/>
        </w:rPr>
        <w:t xml:space="preserve">               fair:appliesRule ?rule ;</w:t>
      </w:r>
      <w:r>
        <w:br/>
      </w:r>
      <w:r>
        <w:rPr>
          <w:rStyle w:val="VerbatimChar"/>
        </w:rPr>
        <w:t xml:space="preserve">               prov:used ?model ;</w:t>
      </w:r>
      <w:r>
        <w:br/>
      </w:r>
      <w:r>
        <w:rPr>
          <w:rStyle w:val="VerbatimChar"/>
        </w:rPr>
        <w:t xml:space="preserve">               prov:startedAtTime ?timestamp .</w:t>
      </w:r>
      <w:r>
        <w:br/>
      </w:r>
      <w:r>
        <w:rPr>
          <w:rStyle w:val="VerbatimChar"/>
        </w:rPr>
        <w:t xml:space="preserve">    ?model a fair:ModelVersion .</w:t>
      </w:r>
      <w:r>
        <w:br/>
      </w:r>
      <w:r>
        <w:br/>
      </w:r>
      <w:r>
        <w:rPr>
          <w:rStyle w:val="VerbatimChar"/>
        </w:rPr>
        <w:t xml:space="preserve">    # 2. Regla, contrato y umbral</w:t>
      </w:r>
      <w:r>
        <w:br/>
      </w:r>
      <w:r>
        <w:rPr>
          <w:rStyle w:val="VerbatimChar"/>
        </w:rPr>
        <w:t xml:space="preserve">    ?rule fair:ruleId ?ruleId ;</w:t>
      </w:r>
      <w:r>
        <w:br/>
      </w:r>
      <w:r>
        <w:rPr>
          <w:rStyle w:val="VerbatimChar"/>
        </w:rPr>
        <w:t xml:space="preserve">          fair:threshold ?threshold ;</w:t>
      </w:r>
      <w:r>
        <w:br/>
      </w:r>
      <w:r>
        <w:rPr>
          <w:rStyle w:val="VerbatimChar"/>
        </w:rPr>
        <w:t xml:space="preserve">          fair:partOfContract ?contract .</w:t>
      </w:r>
      <w:r>
        <w:br/>
      </w:r>
      <w:r>
        <w:rPr>
          <w:rStyle w:val="VerbatimChar"/>
        </w:rPr>
        <w:t xml:space="preserve">    ?contract fair:contractId ?contractId .</w:t>
      </w:r>
      <w:r>
        <w:br/>
      </w:r>
      <w:r>
        <w:br/>
      </w:r>
      <w:r>
        <w:rPr>
          <w:rStyle w:val="VerbatimChar"/>
        </w:rPr>
        <w:t xml:space="preserve">    # 3. Medición que causó el fallo, restringida al atributo Sex</w:t>
      </w:r>
      <w:r>
        <w:br/>
      </w:r>
      <w:r>
        <w:rPr>
          <w:rStyle w:val="VerbatimChar"/>
        </w:rPr>
        <w:t xml:space="preserve">    ?measurement a fair:FairnessMeasurement ;</w:t>
      </w:r>
      <w:r>
        <w:br/>
      </w:r>
      <w:r>
        <w:rPr>
          <w:rStyle w:val="VerbatimChar"/>
        </w:rPr>
        <w:t xml:space="preserve">                 prov:wasGeneratedBy ?execution ;</w:t>
      </w:r>
      <w:r>
        <w:br/>
      </w:r>
      <w:r>
        <w:rPr>
          <w:rStyle w:val="VerbatimChar"/>
        </w:rPr>
        <w:t xml:space="preserve">                 fair:concernsAttribute ?attribute ;</w:t>
      </w:r>
      <w:r>
        <w:br/>
      </w:r>
      <w:r>
        <w:rPr>
          <w:rStyle w:val="VerbatimChar"/>
        </w:rPr>
        <w:t xml:space="preserve">                 dqv:value ?value ;</w:t>
      </w:r>
      <w:r>
        <w:br/>
      </w:r>
      <w:r>
        <w:rPr>
          <w:rStyle w:val="VerbatimChar"/>
        </w:rPr>
        <w:t xml:space="preserve">                 fair:ciLow ?ciLow ;</w:t>
      </w:r>
      <w:r>
        <w:br/>
      </w:r>
      <w:r>
        <w:rPr>
          <w:rStyle w:val="VerbatimChar"/>
        </w:rPr>
        <w:t xml:space="preserve">                 fair:ciHigh ?ciHigh .</w:t>
      </w:r>
      <w:r>
        <w:br/>
      </w:r>
      <w:r>
        <w:rPr>
          <w:rStyle w:val="VerbatimChar"/>
        </w:rPr>
        <w:t xml:space="preserve">    ?attribute fair:attributeName "Sex" .</w:t>
      </w:r>
      <w:r>
        <w:br/>
      </w:r>
      <w:r>
        <w:br/>
      </w:r>
      <w:r>
        <w:rPr>
          <w:rStyle w:val="VerbatimChar"/>
        </w:rPr>
        <w:t xml:space="preserve">    FILTER(?timestamp &gt;= "2026-07-25T00:00:00Z"^^xsd:dateTime)</w:t>
      </w:r>
      <w:r>
        <w:br/>
      </w:r>
      <w:r>
        <w:rPr>
          <w:rStyle w:val="VerbatimChar"/>
        </w:rPr>
        <w:t xml:space="preserve">}</w:t>
      </w:r>
      <w:r>
        <w:br/>
      </w:r>
      <w:r>
        <w:rPr>
          <w:rStyle w:val="VerbatimChar"/>
        </w:rPr>
        <w:t xml:space="preserve">ORDER BY DESC(?timestamp)</w:t>
      </w:r>
    </w:p>
    <w:p>
      <w:pPr>
        <w:pStyle w:val="FirstParagraph"/>
      </w:pPr>
      <w:r>
        <w:t xml:space="preserve">La resolución de esta consulta permite extraer del grafo la evidencia de un bloqueo, que el generador de reportes de la Zona 4 incorpora al reporte de cumplimiento (Russo et al., 2024).</w:t>
      </w:r>
    </w:p>
    <w:bookmarkEnd w:id="97"/>
    <w:bookmarkStart w:id="98" w:name="verificación-de-existencia-2"/>
    <w:p>
      <w:pPr>
        <w:pStyle w:val="Heading3"/>
      </w:pPr>
      <w:r>
        <w:t xml:space="preserve">4.4.3. Verificación de existencia</w:t>
      </w:r>
    </w:p>
    <w:p>
      <w:pPr>
        <w:pStyle w:val="FirstParagraph"/>
      </w:pPr>
      <w:r>
        <w:t xml:space="preserve">La existencia de este resultado se verifica en el esquema de la ontología serializado en sintaxis Turtle y en su archivo de formas SHACL. Para mostrar que el diseño es instanciable, se presenta una instanciación</w:t>
      </w:r>
      <w:r>
        <w:t xml:space="preserve"> </w:t>
      </w:r>
      <w:r>
        <w:rPr>
          <w:b/>
          <w:bCs/>
        </w:rPr>
        <w:t xml:space="preserve">ilustrativa</w:t>
      </w:r>
      <w:r>
        <w:t xml:space="preserve"> </w:t>
      </w:r>
      <w:r>
        <w:t xml:space="preserve">en Turtle de una ejecución de la QA Gate 3 sobre el modelo base del caso Davronov. El hash y el número de registros corresponden al lote real; el valor de la métrica y su intervalo son ilustrativos:</w:t>
      </w:r>
    </w:p>
    <w:p>
      <w:pPr>
        <w:pStyle w:val="SourceCode"/>
      </w:pPr>
      <w:r>
        <w:rPr>
          <w:rStyle w:val="VerbatimChar"/>
        </w:rPr>
        <w:t xml:space="preserve">@prefix fair: &lt;https://pucp.edu.pe/ontology/fair#&gt; .</w:t>
      </w:r>
      <w:r>
        <w:br/>
      </w:r>
      <w:r>
        <w:rPr>
          <w:rStyle w:val="VerbatimChar"/>
        </w:rPr>
        <w:t xml:space="preserve">@prefix prov: &lt;http://www.w3.org/ns/prov#&gt; .</w:t>
      </w:r>
      <w:r>
        <w:br/>
      </w:r>
      <w:r>
        <w:rPr>
          <w:rStyle w:val="VerbatimChar"/>
        </w:rPr>
        <w:t xml:space="preserve">@prefix dqv:  &lt;http://www.w3.org/ns/dqv#&gt; .</w:t>
      </w:r>
      <w:r>
        <w:br/>
      </w:r>
      <w:r>
        <w:rPr>
          <w:rStyle w:val="VerbatimChar"/>
        </w:rPr>
        <w:t xml:space="preserve">@prefix xsd:  &lt;http://www.w3.org/2001/XMLSchema#&gt; .</w:t>
      </w:r>
      <w:r>
        <w:br/>
      </w:r>
      <w:r>
        <w:br/>
      </w:r>
      <w:r>
        <w:rPr>
          <w:rStyle w:val="VerbatimChar"/>
        </w:rPr>
        <w:t xml:space="preserve"># 1. Lote de datos versionado en DVC (caso Davronov)</w:t>
      </w:r>
      <w:r>
        <w:br/>
      </w:r>
      <w:r>
        <w:rPr>
          <w:rStyle w:val="VerbatimChar"/>
        </w:rPr>
        <w:t xml:space="preserve">fair:DataBatch_Davronov_train</w:t>
      </w:r>
      <w:r>
        <w:br/>
      </w:r>
      <w:r>
        <w:rPr>
          <w:rStyle w:val="VerbatimChar"/>
        </w:rPr>
        <w:t xml:space="preserve">    a fair:DataBatch ;</w:t>
      </w:r>
      <w:r>
        <w:br/>
      </w:r>
      <w:r>
        <w:rPr>
          <w:rStyle w:val="VerbatimChar"/>
        </w:rPr>
        <w:t xml:space="preserve">    fair:dvcHash "1aa87791dbf04be9e8440f4eef1ebc54" ;</w:t>
      </w:r>
      <w:r>
        <w:br/>
      </w:r>
      <w:r>
        <w:rPr>
          <w:rStyle w:val="VerbatimChar"/>
        </w:rPr>
        <w:t xml:space="preserve">    fair:recordsCount 8707 .</w:t>
      </w:r>
      <w:r>
        <w:br/>
      </w:r>
      <w:r>
        <w:br/>
      </w:r>
      <w:r>
        <w:rPr>
          <w:rStyle w:val="VerbatimChar"/>
        </w:rPr>
        <w:t xml:space="preserve"># 2. Contrato C3 y su regla de paridad estadística</w:t>
      </w:r>
      <w:r>
        <w:br/>
      </w:r>
      <w:r>
        <w:rPr>
          <w:rStyle w:val="VerbatimChar"/>
        </w:rPr>
        <w:t xml:space="preserve">fair:Contract_C3_v2</w:t>
      </w:r>
      <w:r>
        <w:br/>
      </w:r>
      <w:r>
        <w:rPr>
          <w:rStyle w:val="VerbatimChar"/>
        </w:rPr>
        <w:t xml:space="preserve">    a fair:FairnessContract ;</w:t>
      </w:r>
      <w:r>
        <w:br/>
      </w:r>
      <w:r>
        <w:rPr>
          <w:rStyle w:val="VerbatimChar"/>
        </w:rPr>
        <w:t xml:space="preserve">    fair:contractId "C3" ;</w:t>
      </w:r>
      <w:r>
        <w:br/>
      </w:r>
      <w:r>
        <w:rPr>
          <w:rStyle w:val="VerbatimChar"/>
        </w:rPr>
        <w:t xml:space="preserve">    fair:version "2.0" .</w:t>
      </w:r>
      <w:r>
        <w:br/>
      </w:r>
      <w:r>
        <w:br/>
      </w:r>
      <w:r>
        <w:rPr>
          <w:rStyle w:val="VerbatimChar"/>
        </w:rPr>
        <w:t xml:space="preserve">fair:Rule_C3_SPD</w:t>
      </w:r>
      <w:r>
        <w:br/>
      </w:r>
      <w:r>
        <w:rPr>
          <w:rStyle w:val="VerbatimChar"/>
        </w:rPr>
        <w:t xml:space="preserve">    a fair:Rule ;</w:t>
      </w:r>
      <w:r>
        <w:br/>
      </w:r>
      <w:r>
        <w:rPr>
          <w:rStyle w:val="VerbatimChar"/>
        </w:rPr>
        <w:t xml:space="preserve">    fair:ruleId "C3-SPD" ;</w:t>
      </w:r>
      <w:r>
        <w:br/>
      </w:r>
      <w:r>
        <w:rPr>
          <w:rStyle w:val="VerbatimChar"/>
        </w:rPr>
        <w:t xml:space="preserve">    fair:partOfContract fair:Contract_C3_v2 ;</w:t>
      </w:r>
      <w:r>
        <w:br/>
      </w:r>
      <w:r>
        <w:rPr>
          <w:rStyle w:val="VerbatimChar"/>
        </w:rPr>
        <w:t xml:space="preserve">    fair:metricName "spd" ;</w:t>
      </w:r>
      <w:r>
        <w:br/>
      </w:r>
      <w:r>
        <w:rPr>
          <w:rStyle w:val="VerbatimChar"/>
        </w:rPr>
        <w:t xml:space="preserve">    fair:operator "le" ;</w:t>
      </w:r>
      <w:r>
        <w:br/>
      </w:r>
      <w:r>
        <w:rPr>
          <w:rStyle w:val="VerbatimChar"/>
        </w:rPr>
        <w:t xml:space="preserve">    fair:threshold "0.10"^^xsd:decimal ;</w:t>
      </w:r>
      <w:r>
        <w:br/>
      </w:r>
      <w:r>
        <w:rPr>
          <w:rStyle w:val="VerbatimChar"/>
        </w:rPr>
        <w:t xml:space="preserve">    fair:severity "block" .</w:t>
      </w:r>
      <w:r>
        <w:br/>
      </w:r>
      <w:r>
        <w:br/>
      </w:r>
      <w:r>
        <w:rPr>
          <w:rStyle w:val="VerbatimChar"/>
        </w:rPr>
        <w:t xml:space="preserve">fair:Attribute_Sex</w:t>
      </w:r>
      <w:r>
        <w:br/>
      </w:r>
      <w:r>
        <w:rPr>
          <w:rStyle w:val="VerbatimChar"/>
        </w:rPr>
        <w:t xml:space="preserve">    a fair:ProtectedAttribute ;</w:t>
      </w:r>
      <w:r>
        <w:br/>
      </w:r>
      <w:r>
        <w:rPr>
          <w:rStyle w:val="VerbatimChar"/>
        </w:rPr>
        <w:t xml:space="preserve">    fair:attributeName "Sex" .</w:t>
      </w:r>
      <w:r>
        <w:br/>
      </w:r>
      <w:r>
        <w:br/>
      </w:r>
      <w:r>
        <w:rPr>
          <w:rStyle w:val="VerbatimChar"/>
        </w:rPr>
        <w:t xml:space="preserve"># 3. Modelo base entrenado sobre el lote</w:t>
      </w:r>
      <w:r>
        <w:br/>
      </w:r>
      <w:r>
        <w:rPr>
          <w:rStyle w:val="VerbatimChar"/>
        </w:rPr>
        <w:t xml:space="preserve">fair:Model_LR_base_v1</w:t>
      </w:r>
      <w:r>
        <w:br/>
      </w:r>
      <w:r>
        <w:rPr>
          <w:rStyle w:val="VerbatimChar"/>
        </w:rPr>
        <w:t xml:space="preserve">    a fair:ModelVersion ;</w:t>
      </w:r>
      <w:r>
        <w:br/>
      </w:r>
      <w:r>
        <w:rPr>
          <w:rStyle w:val="VerbatimChar"/>
        </w:rPr>
        <w:t xml:space="preserve">    prov:wasDerivedFrom fair:DataBatch_Davronov_train .</w:t>
      </w:r>
      <w:r>
        <w:br/>
      </w:r>
      <w:r>
        <w:br/>
      </w:r>
      <w:r>
        <w:rPr>
          <w:rStyle w:val="VerbatimChar"/>
        </w:rPr>
        <w:t xml:space="preserve"># 4. Ejecución fallida de la QA Gate 3 sobre el modelo base</w:t>
      </w:r>
      <w:r>
        <w:br/>
      </w:r>
      <w:r>
        <w:rPr>
          <w:rStyle w:val="VerbatimChar"/>
        </w:rPr>
        <w:t xml:space="preserve">fair:GateExecution_C3_0001</w:t>
      </w:r>
      <w:r>
        <w:br/>
      </w:r>
      <w:r>
        <w:rPr>
          <w:rStyle w:val="VerbatimChar"/>
        </w:rPr>
        <w:t xml:space="preserve">    a fair:GateExecution ;</w:t>
      </w:r>
      <w:r>
        <w:br/>
      </w:r>
      <w:r>
        <w:rPr>
          <w:rStyle w:val="VerbatimChar"/>
        </w:rPr>
        <w:t xml:space="preserve">    fair:appliesRule fair:Rule_C3_SPD ;</w:t>
      </w:r>
      <w:r>
        <w:br/>
      </w:r>
      <w:r>
        <w:rPr>
          <w:rStyle w:val="VerbatimChar"/>
        </w:rPr>
        <w:t xml:space="preserve">    prov:used fair:Model_LR_base_v1 ;</w:t>
      </w:r>
      <w:r>
        <w:br/>
      </w:r>
      <w:r>
        <w:rPr>
          <w:rStyle w:val="VerbatimChar"/>
        </w:rPr>
        <w:t xml:space="preserve">    fair:gatePassed false ;</w:t>
      </w:r>
      <w:r>
        <w:br/>
      </w:r>
      <w:r>
        <w:rPr>
          <w:rStyle w:val="VerbatimChar"/>
        </w:rPr>
        <w:t xml:space="preserve">    prov:startedAtTime "2026-08-18T04:14:00Z"^^xsd:dateTime .</w:t>
      </w:r>
      <w:r>
        <w:br/>
      </w:r>
      <w:r>
        <w:br/>
      </w:r>
      <w:r>
        <w:rPr>
          <w:rStyle w:val="VerbatimChar"/>
        </w:rPr>
        <w:t xml:space="preserve"># 5. Medición que causó el fallo (valores ilustrativos)</w:t>
      </w:r>
      <w:r>
        <w:br/>
      </w:r>
      <w:r>
        <w:rPr>
          <w:rStyle w:val="VerbatimChar"/>
        </w:rPr>
        <w:t xml:space="preserve">fair:Measurement_C3_0001_SPD_Sex</w:t>
      </w:r>
      <w:r>
        <w:br/>
      </w:r>
      <w:r>
        <w:rPr>
          <w:rStyle w:val="VerbatimChar"/>
        </w:rPr>
        <w:t xml:space="preserve">    a fair:FairnessMeasurement , dqv:QualityMeasurement ;</w:t>
      </w:r>
      <w:r>
        <w:br/>
      </w:r>
      <w:r>
        <w:rPr>
          <w:rStyle w:val="VerbatimChar"/>
        </w:rPr>
        <w:t xml:space="preserve">    prov:wasGeneratedBy fair:GateExecution_C3_0001 ;</w:t>
      </w:r>
      <w:r>
        <w:br/>
      </w:r>
      <w:r>
        <w:rPr>
          <w:rStyle w:val="VerbatimChar"/>
        </w:rPr>
        <w:t xml:space="preserve">    fair:concernsAttribute fair:Attribute_Sex ;</w:t>
      </w:r>
      <w:r>
        <w:br/>
      </w:r>
      <w:r>
        <w:rPr>
          <w:rStyle w:val="VerbatimChar"/>
        </w:rPr>
        <w:t xml:space="preserve">    dqv:value "0.18"^^xsd:decimal ;</w:t>
      </w:r>
      <w:r>
        <w:br/>
      </w:r>
      <w:r>
        <w:rPr>
          <w:rStyle w:val="VerbatimChar"/>
        </w:rPr>
        <w:t xml:space="preserve">    fair:ciLow "0.14"^^xsd:decimal ;</w:t>
      </w:r>
      <w:r>
        <w:br/>
      </w:r>
      <w:r>
        <w:rPr>
          <w:rStyle w:val="VerbatimChar"/>
        </w:rPr>
        <w:t xml:space="preserve">    fair:ciHigh "0.22"^^xsd:decimal .</w:t>
      </w:r>
      <w:r>
        <w:br/>
      </w:r>
      <w:r>
        <w:br/>
      </w:r>
      <w:r>
        <w:rPr>
          <w:rStyle w:val="VerbatimChar"/>
        </w:rPr>
        <w:t xml:space="preserve"># 6. Remediación aplicada al modelo base</w:t>
      </w:r>
      <w:r>
        <w:br/>
      </w:r>
      <w:r>
        <w:rPr>
          <w:rStyle w:val="VerbatimChar"/>
        </w:rPr>
        <w:t xml:space="preserve">fair:Remediation_0001</w:t>
      </w:r>
      <w:r>
        <w:br/>
      </w:r>
      <w:r>
        <w:rPr>
          <w:rStyle w:val="VerbatimChar"/>
        </w:rPr>
        <w:t xml:space="preserve">    a fair:Remediation ;</w:t>
      </w:r>
      <w:r>
        <w:br/>
      </w:r>
      <w:r>
        <w:rPr>
          <w:rStyle w:val="VerbatimChar"/>
        </w:rPr>
        <w:t xml:space="preserve">    fair:method "threshold_optimizer" ;</w:t>
      </w:r>
      <w:r>
        <w:br/>
      </w:r>
      <w:r>
        <w:rPr>
          <w:rStyle w:val="VerbatimChar"/>
        </w:rPr>
        <w:t xml:space="preserve">    fair:constraint "equalized_odds" ;</w:t>
      </w:r>
      <w:r>
        <w:br/>
      </w:r>
      <w:r>
        <w:rPr>
          <w:rStyle w:val="VerbatimChar"/>
        </w:rPr>
        <w:t xml:space="preserve">    prov:used fair:Model_LR_base_v1 .</w:t>
      </w:r>
    </w:p>
    <w:p>
      <w:pPr>
        <w:pStyle w:val="FirstParagraph"/>
      </w:pPr>
      <w:r>
        <w:t xml:space="preserve">La completitud de cada ejecución se garantiza con formas SHACL como la siguiente, que exige que toda ejecución de compuerta tenga regla, resultado, marca de tiempo y el modelo o lote evaluado:</w:t>
      </w:r>
    </w:p>
    <w:p>
      <w:pPr>
        <w:pStyle w:val="SourceCode"/>
      </w:pPr>
      <w:r>
        <w:rPr>
          <w:rStyle w:val="VerbatimChar"/>
        </w:rPr>
        <w:t xml:space="preserve">@prefix sh:   &lt;http://www.w3.org/ns/shacl#&gt; .</w:t>
      </w:r>
      <w:r>
        <w:br/>
      </w:r>
      <w:r>
        <w:rPr>
          <w:rStyle w:val="VerbatimChar"/>
        </w:rPr>
        <w:t xml:space="preserve">@prefix fair: &lt;https://pucp.edu.pe/ontology/fair#&gt; .</w:t>
      </w:r>
      <w:r>
        <w:br/>
      </w:r>
      <w:r>
        <w:rPr>
          <w:rStyle w:val="VerbatimChar"/>
        </w:rPr>
        <w:t xml:space="preserve">@prefix prov: &lt;http://www.w3.org/ns/prov#&gt; .</w:t>
      </w:r>
      <w:r>
        <w:br/>
      </w:r>
      <w:r>
        <w:rPr>
          <w:rStyle w:val="VerbatimChar"/>
        </w:rPr>
        <w:t xml:space="preserve">@prefix xsd:  &lt;http://www.w3.org/2001/XMLSchema#&gt; .</w:t>
      </w:r>
      <w:r>
        <w:br/>
      </w:r>
      <w:r>
        <w:br/>
      </w:r>
      <w:r>
        <w:rPr>
          <w:rStyle w:val="VerbatimChar"/>
        </w:rPr>
        <w:t xml:space="preserve">fair:GateExecutionShape</w:t>
      </w:r>
      <w:r>
        <w:br/>
      </w:r>
      <w:r>
        <w:rPr>
          <w:rStyle w:val="VerbatimChar"/>
        </w:rPr>
        <w:t xml:space="preserve">    a sh:NodeShape ;</w:t>
      </w:r>
      <w:r>
        <w:br/>
      </w:r>
      <w:r>
        <w:rPr>
          <w:rStyle w:val="VerbatimChar"/>
        </w:rPr>
        <w:t xml:space="preserve">    sh:targetClass fair:GateExecution ;</w:t>
      </w:r>
      <w:r>
        <w:br/>
      </w:r>
      <w:r>
        <w:rPr>
          <w:rStyle w:val="VerbatimChar"/>
        </w:rPr>
        <w:t xml:space="preserve">    sh:property [ sh:path fair:appliesRule ;       sh:minCount 1 ; sh:class fair:Rule ] ;</w:t>
      </w:r>
      <w:r>
        <w:br/>
      </w:r>
      <w:r>
        <w:rPr>
          <w:rStyle w:val="VerbatimChar"/>
        </w:rPr>
        <w:t xml:space="preserve">    sh:property [ sh:path fair:gatePassed ;        sh:minCount 1 ; sh:maxCount 1 ; sh:datatype xsd:boolean ] ;</w:t>
      </w:r>
      <w:r>
        <w:br/>
      </w:r>
      <w:r>
        <w:rPr>
          <w:rStyle w:val="VerbatimChar"/>
        </w:rPr>
        <w:t xml:space="preserve">    sh:property [ sh:path prov:startedAtTime ;     sh:minCount 1 ; sh:datatype xsd:dateTime ] ;</w:t>
      </w:r>
      <w:r>
        <w:br/>
      </w:r>
      <w:r>
        <w:rPr>
          <w:rStyle w:val="VerbatimChar"/>
        </w:rPr>
        <w:t xml:space="preserve">    sh:property [ sh:path prov:used ;              sh:minCount 1 ] .</w:t>
      </w:r>
    </w:p>
    <w:bookmarkEnd w:id="98"/>
    <w:bookmarkStart w:id="99" w:name="mediciones-y-validación-de-indicador"/>
    <w:p>
      <w:pPr>
        <w:pStyle w:val="Heading3"/>
      </w:pPr>
      <w:r>
        <w:t xml:space="preserve">4.4.4. Mediciones y validación de indicador</w:t>
      </w:r>
    </w:p>
    <w:p>
      <w:pPr>
        <w:pStyle w:val="FirstParagraph"/>
      </w:pPr>
      <w:r>
        <w:t xml:space="preserve">El cumplimiento del entregable se valida con el indicador del R.E.2.3 del Capítulo 1 (Tabla 2):</w:t>
      </w:r>
      <w:r>
        <w:t xml:space="preserve"> </w:t>
      </w:r>
      <w:r>
        <w:rPr>
          <w:i/>
          <w:iCs/>
        </w:rPr>
        <w:t xml:space="preserve">“Modelo conceptual estructurado que interconecte las entidades de datos, modelo, métricas de sesgo y resultados de ejecución, validable mediante restricciones formales”</w:t>
      </w:r>
      <w:r>
        <w:t xml:space="preserve">.</w:t>
      </w:r>
    </w:p>
    <w:p>
      <w:pPr>
        <w:pStyle w:val="BodyText"/>
      </w:pPr>
      <w:r>
        <w:t xml:space="preserve">La interconexión exigida se define mediante las propiedades de la ontología:</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3286"/>
        <w:gridCol w:w="3429"/>
        <w:gridCol w:w="2298"/>
      </w:tblGrid>
      <w:tr>
        <w:trPr>
          <w:tblHeader w:val="on"/>
          <w:tblHeader w:val="true"/>
        </w:trPr>
        <w:tc>
          <w:tcPr>
            <w:tcW w:type="dxa" w:w="3286"/>
          </w:tcPr>
          <w:p>
            <w:pPr>
              <w:pStyle w:val="Compact"/>
              <w:spacing w:after="40"/>
              <w:jc w:val="left"/>
            </w:pPr>
            <w:r>
              <w:rPr>
                <w:b/>
                <w:sz w:val="22"/>
              </w:rPr>
              <w:t xml:space="preserve">Propiedad</w:t>
            </w:r>
          </w:p>
        </w:tc>
        <w:tc>
          <w:tcPr>
            <w:tcW w:type="dxa" w:w="3429"/>
          </w:tcPr>
          <w:p>
            <w:pPr>
              <w:pStyle w:val="Compact"/>
              <w:spacing w:after="40"/>
              <w:jc w:val="left"/>
            </w:pPr>
            <w:r>
              <w:rPr>
                <w:b/>
                <w:sz w:val="22"/>
              </w:rPr>
              <w:t xml:space="preserve">Dominio → Rango</w:t>
            </w:r>
          </w:p>
        </w:tc>
        <w:tc>
          <w:tcPr>
            <w:tcW w:type="dxa" w:w="2299"/>
          </w:tcPr>
          <w:p>
            <w:pPr>
              <w:pStyle w:val="Compact"/>
              <w:spacing w:after="40"/>
              <w:jc w:val="left"/>
            </w:pPr>
            <w:r>
              <w:rPr>
                <w:b/>
                <w:sz w:val="22"/>
              </w:rPr>
              <w:t xml:space="preserve">Significado</w:t>
            </w:r>
          </w:p>
        </w:tc>
      </w:tr>
      <w:tr>
        <w:tc>
          <w:tcPr>
            <w:tcW w:type="dxa" w:w="3286"/>
          </w:tcPr>
          <w:p>
            <w:pPr>
              <w:pStyle w:val="Compact"/>
              <w:spacing w:after="40"/>
              <w:jc w:val="left"/>
            </w:pPr>
            <w:r>
              <w:rPr>
                <w:rStyle w:val="VerbatimChar"/>
                <w:sz w:val="22"/>
              </w:rPr>
              <w:t xml:space="preserve">prov:used</w:t>
            </w:r>
          </w:p>
        </w:tc>
        <w:tc>
          <w:tcPr>
            <w:tcW w:type="dxa" w:w="3429"/>
          </w:tcPr>
          <w:p>
            <w:pPr>
              <w:pStyle w:val="Compact"/>
              <w:spacing w:after="40"/>
              <w:jc w:val="left"/>
            </w:pPr>
            <w:r>
              <w:rPr>
                <w:rStyle w:val="VerbatimChar"/>
                <w:sz w:val="22"/>
              </w:rPr>
              <w:t xml:space="preserve">fair:GateExecution</w:t>
            </w:r>
            <w:r>
              <w:rPr>
                <w:sz w:val="22"/>
              </w:rPr>
              <w:t xml:space="preserve"> </w:t>
            </w:r>
            <w:r>
              <w:rPr>
                <w:sz w:val="22"/>
              </w:rPr>
              <w:t xml:space="preserve">→</w:t>
            </w:r>
            <w:r>
              <w:rPr>
                <w:sz w:val="22"/>
              </w:rPr>
              <w:t xml:space="preserve"> </w:t>
            </w:r>
            <w:r>
              <w:rPr>
                <w:rStyle w:val="VerbatimChar"/>
                <w:sz w:val="22"/>
              </w:rPr>
              <w:t xml:space="preserve">fair:DataBatch</w:t>
            </w:r>
            <w:r>
              <w:rPr>
                <w:sz w:val="22"/>
              </w:rPr>
              <w:t xml:space="preserve"> </w:t>
            </w:r>
            <w:r>
              <w:rPr>
                <w:sz w:val="22"/>
              </w:rPr>
              <w:t xml:space="preserve">/</w:t>
            </w:r>
            <w:r>
              <w:rPr>
                <w:sz w:val="22"/>
              </w:rPr>
              <w:t xml:space="preserve"> </w:t>
            </w:r>
            <w:r>
              <w:rPr>
                <w:rStyle w:val="VerbatimChar"/>
                <w:sz w:val="22"/>
              </w:rPr>
              <w:t xml:space="preserve">fair:ModelVersion</w:t>
            </w:r>
          </w:p>
        </w:tc>
        <w:tc>
          <w:tcPr>
            <w:tcW w:type="dxa" w:w="2299"/>
          </w:tcPr>
          <w:p>
            <w:pPr>
              <w:pStyle w:val="Compact"/>
              <w:spacing w:after="40"/>
              <w:jc w:val="left"/>
            </w:pPr>
            <w:r>
              <w:rPr>
                <w:sz w:val="22"/>
              </w:rPr>
              <w:t xml:space="preserve">Lote o modelo evaluado por la compuerta</w:t>
            </w:r>
          </w:p>
        </w:tc>
      </w:tr>
      <w:tr>
        <w:tc>
          <w:tcPr>
            <w:tcW w:type="dxa" w:w="3286"/>
          </w:tcPr>
          <w:p>
            <w:pPr>
              <w:pStyle w:val="Compact"/>
              <w:spacing w:after="40"/>
              <w:jc w:val="left"/>
            </w:pPr>
            <w:r>
              <w:rPr>
                <w:rStyle w:val="VerbatimChar"/>
                <w:sz w:val="22"/>
              </w:rPr>
              <w:t xml:space="preserve">prov:wasGeneratedBy</w:t>
            </w:r>
          </w:p>
        </w:tc>
        <w:tc>
          <w:tcPr>
            <w:tcW w:type="dxa" w:w="3429"/>
          </w:tcPr>
          <w:p>
            <w:pPr>
              <w:pStyle w:val="Compact"/>
              <w:spacing w:after="40"/>
              <w:jc w:val="left"/>
            </w:pPr>
            <w:r>
              <w:rPr>
                <w:rStyle w:val="VerbatimChar"/>
                <w:sz w:val="22"/>
              </w:rPr>
              <w:t xml:space="preserve">fair:FairnessMeasurement</w:t>
            </w:r>
            <w:r>
              <w:rPr>
                <w:sz w:val="22"/>
              </w:rPr>
              <w:t xml:space="preserve"> </w:t>
            </w:r>
            <w:r>
              <w:rPr>
                <w:sz w:val="22"/>
              </w:rPr>
              <w:t xml:space="preserve">→</w:t>
            </w:r>
            <w:r>
              <w:rPr>
                <w:sz w:val="22"/>
              </w:rPr>
              <w:t xml:space="preserve"> </w:t>
            </w:r>
            <w:r>
              <w:rPr>
                <w:rStyle w:val="VerbatimChar"/>
                <w:sz w:val="22"/>
              </w:rPr>
              <w:t xml:space="preserve">fair:GateExecution</w:t>
            </w:r>
          </w:p>
        </w:tc>
        <w:tc>
          <w:tcPr>
            <w:tcW w:type="dxa" w:w="2299"/>
          </w:tcPr>
          <w:p>
            <w:pPr>
              <w:pStyle w:val="Compact"/>
              <w:spacing w:after="40"/>
              <w:jc w:val="left"/>
            </w:pPr>
            <w:r>
              <w:rPr>
                <w:sz w:val="22"/>
              </w:rPr>
              <w:t xml:space="preserve">Ejecución que produjo la medición</w:t>
            </w:r>
          </w:p>
        </w:tc>
      </w:tr>
      <w:tr>
        <w:tc>
          <w:tcPr>
            <w:tcW w:type="dxa" w:w="3286"/>
          </w:tcPr>
          <w:p>
            <w:pPr>
              <w:pStyle w:val="Compact"/>
              <w:spacing w:after="40"/>
              <w:jc w:val="left"/>
            </w:pPr>
            <w:r>
              <w:rPr>
                <w:rStyle w:val="VerbatimChar"/>
                <w:sz w:val="22"/>
              </w:rPr>
              <w:t xml:space="preserve">prov:wasDerivedFrom</w:t>
            </w:r>
          </w:p>
        </w:tc>
        <w:tc>
          <w:tcPr>
            <w:tcW w:type="dxa" w:w="3429"/>
          </w:tcPr>
          <w:p>
            <w:pPr>
              <w:pStyle w:val="Compact"/>
              <w:spacing w:after="40"/>
              <w:jc w:val="left"/>
            </w:pPr>
            <w:r>
              <w:rPr>
                <w:rStyle w:val="VerbatimChar"/>
                <w:sz w:val="22"/>
              </w:rPr>
              <w:t xml:space="preserve">fair:ModelVersion</w:t>
            </w:r>
            <w:r>
              <w:rPr>
                <w:sz w:val="22"/>
              </w:rPr>
              <w:t xml:space="preserve"> </w:t>
            </w:r>
            <w:r>
              <w:rPr>
                <w:sz w:val="22"/>
              </w:rPr>
              <w:t xml:space="preserve">→</w:t>
            </w:r>
            <w:r>
              <w:rPr>
                <w:sz w:val="22"/>
              </w:rPr>
              <w:t xml:space="preserve"> </w:t>
            </w:r>
            <w:r>
              <w:rPr>
                <w:rStyle w:val="VerbatimChar"/>
                <w:sz w:val="22"/>
              </w:rPr>
              <w:t xml:space="preserve">fair:DataBatch</w:t>
            </w:r>
            <w:r>
              <w:rPr>
                <w:sz w:val="22"/>
              </w:rPr>
              <w:t xml:space="preserve"> </w:t>
            </w:r>
            <w:r>
              <w:rPr>
                <w:sz w:val="22"/>
              </w:rPr>
              <w:t xml:space="preserve">/</w:t>
            </w:r>
            <w:r>
              <w:rPr>
                <w:sz w:val="22"/>
              </w:rPr>
              <w:t xml:space="preserve"> </w:t>
            </w:r>
            <w:r>
              <w:rPr>
                <w:rStyle w:val="VerbatimChar"/>
                <w:sz w:val="22"/>
              </w:rPr>
              <w:t xml:space="preserve">fair:ModelVersion</w:t>
            </w:r>
          </w:p>
        </w:tc>
        <w:tc>
          <w:tcPr>
            <w:tcW w:type="dxa" w:w="2299"/>
          </w:tcPr>
          <w:p>
            <w:pPr>
              <w:pStyle w:val="Compact"/>
              <w:spacing w:after="40"/>
              <w:jc w:val="left"/>
            </w:pPr>
            <w:r>
              <w:rPr>
                <w:sz w:val="22"/>
              </w:rPr>
              <w:t xml:space="preserve">Lote con el que se entrenó el modelo, o modelo base del que deriva un modelo remediado</w:t>
            </w:r>
          </w:p>
        </w:tc>
      </w:tr>
      <w:tr>
        <w:tc>
          <w:tcPr>
            <w:tcW w:type="dxa" w:w="3286"/>
          </w:tcPr>
          <w:p>
            <w:pPr>
              <w:pStyle w:val="Compact"/>
              <w:spacing w:after="40"/>
              <w:jc w:val="left"/>
            </w:pPr>
            <w:r>
              <w:rPr>
                <w:rStyle w:val="VerbatimChar"/>
                <w:sz w:val="22"/>
              </w:rPr>
              <w:t xml:space="preserve">fair:appliesRule</w:t>
            </w:r>
          </w:p>
        </w:tc>
        <w:tc>
          <w:tcPr>
            <w:tcW w:type="dxa" w:w="3429"/>
          </w:tcPr>
          <w:p>
            <w:pPr>
              <w:pStyle w:val="Compact"/>
              <w:spacing w:after="40"/>
              <w:jc w:val="left"/>
            </w:pPr>
            <w:r>
              <w:rPr>
                <w:rStyle w:val="VerbatimChar"/>
                <w:sz w:val="22"/>
              </w:rPr>
              <w:t xml:space="preserve">fair:GateExecution</w:t>
            </w:r>
            <w:r>
              <w:rPr>
                <w:sz w:val="22"/>
              </w:rPr>
              <w:t xml:space="preserve"> </w:t>
            </w:r>
            <w:r>
              <w:rPr>
                <w:sz w:val="22"/>
              </w:rPr>
              <w:t xml:space="preserve">→</w:t>
            </w:r>
            <w:r>
              <w:rPr>
                <w:sz w:val="22"/>
              </w:rPr>
              <w:t xml:space="preserve"> </w:t>
            </w:r>
            <w:r>
              <w:rPr>
                <w:rStyle w:val="VerbatimChar"/>
                <w:sz w:val="22"/>
              </w:rPr>
              <w:t xml:space="preserve">fair:Rule</w:t>
            </w:r>
          </w:p>
        </w:tc>
        <w:tc>
          <w:tcPr>
            <w:tcW w:type="dxa" w:w="2299"/>
          </w:tcPr>
          <w:p>
            <w:pPr>
              <w:pStyle w:val="Compact"/>
              <w:spacing w:after="40"/>
              <w:jc w:val="left"/>
            </w:pPr>
            <w:r>
              <w:rPr>
                <w:sz w:val="22"/>
              </w:rPr>
              <w:t xml:space="preserve">Regla evaluada</w:t>
            </w:r>
          </w:p>
        </w:tc>
      </w:tr>
      <w:tr>
        <w:tc>
          <w:tcPr>
            <w:tcW w:type="dxa" w:w="3286"/>
          </w:tcPr>
          <w:p>
            <w:pPr>
              <w:pStyle w:val="Compact"/>
              <w:spacing w:after="40"/>
              <w:jc w:val="left"/>
            </w:pPr>
            <w:r>
              <w:rPr>
                <w:rStyle w:val="VerbatimChar"/>
                <w:sz w:val="22"/>
              </w:rPr>
              <w:t xml:space="preserve">fair:partOfContract</w:t>
            </w:r>
          </w:p>
        </w:tc>
        <w:tc>
          <w:tcPr>
            <w:tcW w:type="dxa" w:w="3429"/>
          </w:tcPr>
          <w:p>
            <w:pPr>
              <w:pStyle w:val="Compact"/>
              <w:spacing w:after="40"/>
              <w:jc w:val="left"/>
            </w:pPr>
            <w:r>
              <w:rPr>
                <w:rStyle w:val="VerbatimChar"/>
                <w:sz w:val="22"/>
              </w:rPr>
              <w:t xml:space="preserve">fair:Rule</w:t>
            </w:r>
            <w:r>
              <w:rPr>
                <w:sz w:val="22"/>
              </w:rPr>
              <w:t xml:space="preserve"> </w:t>
            </w:r>
            <w:r>
              <w:rPr>
                <w:sz w:val="22"/>
              </w:rPr>
              <w:t xml:space="preserve">→</w:t>
            </w:r>
            <w:r>
              <w:rPr>
                <w:sz w:val="22"/>
              </w:rPr>
              <w:t xml:space="preserve"> </w:t>
            </w:r>
            <w:r>
              <w:rPr>
                <w:rStyle w:val="VerbatimChar"/>
                <w:sz w:val="22"/>
              </w:rPr>
              <w:t xml:space="preserve">fair:FairnessContract</w:t>
            </w:r>
          </w:p>
        </w:tc>
        <w:tc>
          <w:tcPr>
            <w:tcW w:type="dxa" w:w="2299"/>
          </w:tcPr>
          <w:p>
            <w:pPr>
              <w:pStyle w:val="Compact"/>
              <w:spacing w:after="40"/>
              <w:jc w:val="left"/>
            </w:pPr>
            <w:r>
              <w:rPr>
                <w:sz w:val="22"/>
              </w:rPr>
              <w:t xml:space="preserve">Contrato al que pertenece la regla</w:t>
            </w:r>
          </w:p>
        </w:tc>
      </w:tr>
      <w:tr>
        <w:tc>
          <w:tcPr>
            <w:tcW w:type="dxa" w:w="3286"/>
          </w:tcPr>
          <w:p>
            <w:pPr>
              <w:pStyle w:val="Compact"/>
              <w:spacing w:after="40"/>
              <w:jc w:val="left"/>
            </w:pPr>
            <w:r>
              <w:rPr>
                <w:rStyle w:val="VerbatimChar"/>
                <w:sz w:val="22"/>
              </w:rPr>
              <w:t xml:space="preserve">fair:concernsAttribute</w:t>
            </w:r>
          </w:p>
        </w:tc>
        <w:tc>
          <w:tcPr>
            <w:tcW w:type="dxa" w:w="3429"/>
          </w:tcPr>
          <w:p>
            <w:pPr>
              <w:pStyle w:val="Compact"/>
              <w:spacing w:after="40"/>
              <w:jc w:val="left"/>
            </w:pPr>
            <w:r>
              <w:rPr>
                <w:rStyle w:val="VerbatimChar"/>
                <w:sz w:val="22"/>
              </w:rPr>
              <w:t xml:space="preserve">fair:FairnessMeasurement</w:t>
            </w:r>
            <w:r>
              <w:rPr>
                <w:sz w:val="22"/>
              </w:rPr>
              <w:t xml:space="preserve"> </w:t>
            </w:r>
            <w:r>
              <w:rPr>
                <w:sz w:val="22"/>
              </w:rPr>
              <w:t xml:space="preserve">→</w:t>
            </w:r>
            <w:r>
              <w:rPr>
                <w:sz w:val="22"/>
              </w:rPr>
              <w:t xml:space="preserve"> </w:t>
            </w:r>
            <w:r>
              <w:rPr>
                <w:rStyle w:val="VerbatimChar"/>
                <w:sz w:val="22"/>
              </w:rPr>
              <w:t xml:space="preserve">fair:ProtectedAttribute</w:t>
            </w:r>
          </w:p>
        </w:tc>
        <w:tc>
          <w:tcPr>
            <w:tcW w:type="dxa" w:w="2299"/>
          </w:tcPr>
          <w:p>
            <w:pPr>
              <w:pStyle w:val="Compact"/>
              <w:spacing w:after="40"/>
              <w:jc w:val="left"/>
            </w:pPr>
            <w:r>
              <w:rPr>
                <w:sz w:val="22"/>
              </w:rPr>
              <w:t xml:space="preserve">Atributo protegido medido</w:t>
            </w:r>
          </w:p>
        </w:tc>
      </w:tr>
      <w:tr>
        <w:tc>
          <w:tcPr>
            <w:tcW w:type="dxa" w:w="3286"/>
          </w:tcPr>
          <w:p>
            <w:pPr>
              <w:pStyle w:val="Compact"/>
              <w:spacing w:after="40"/>
              <w:jc w:val="left"/>
            </w:pPr>
            <w:r>
              <w:rPr>
                <w:rStyle w:val="VerbatimChar"/>
                <w:sz w:val="22"/>
              </w:rPr>
              <w:t xml:space="preserve">fair:afterStep</w:t>
            </w:r>
          </w:p>
        </w:tc>
        <w:tc>
          <w:tcPr>
            <w:tcW w:type="dxa" w:w="3429"/>
          </w:tcPr>
          <w:p>
            <w:pPr>
              <w:pStyle w:val="Compact"/>
              <w:spacing w:after="40"/>
              <w:jc w:val="left"/>
            </w:pPr>
            <w:r>
              <w:rPr>
                <w:rStyle w:val="VerbatimChar"/>
                <w:sz w:val="22"/>
              </w:rPr>
              <w:t xml:space="preserve">fair:GateExecution</w:t>
            </w:r>
            <w:r>
              <w:rPr>
                <w:sz w:val="22"/>
              </w:rPr>
              <w:t xml:space="preserve"> </w:t>
            </w:r>
            <w:r>
              <w:rPr>
                <w:sz w:val="22"/>
              </w:rPr>
              <w:t xml:space="preserve">→</w:t>
            </w:r>
            <w:r>
              <w:rPr>
                <w:sz w:val="22"/>
              </w:rPr>
              <w:t xml:space="preserve"> </w:t>
            </w:r>
            <w:r>
              <w:rPr>
                <w:rStyle w:val="VerbatimChar"/>
                <w:sz w:val="22"/>
              </w:rPr>
              <w:t xml:space="preserve">fair:TransformationStep</w:t>
            </w:r>
          </w:p>
        </w:tc>
        <w:tc>
          <w:tcPr>
            <w:tcW w:type="dxa" w:w="2299"/>
          </w:tcPr>
          <w:p>
            <w:pPr>
              <w:pStyle w:val="Compact"/>
              <w:spacing w:after="40"/>
              <w:jc w:val="left"/>
            </w:pPr>
            <w:r>
              <w:rPr>
                <w:sz w:val="22"/>
              </w:rPr>
              <w:t xml:space="preserve">Paso de preprocesamiento evaluado (C2)</w:t>
            </w:r>
          </w:p>
        </w:tc>
      </w:tr>
      <w:tr>
        <w:tc>
          <w:tcPr>
            <w:tcW w:type="dxa" w:w="3286"/>
          </w:tcPr>
          <w:p>
            <w:pPr>
              <w:pStyle w:val="Compact"/>
              <w:spacing w:after="40"/>
              <w:jc w:val="left"/>
            </w:pPr>
            <w:r>
              <w:rPr>
                <w:rStyle w:val="VerbatimChar"/>
                <w:sz w:val="22"/>
              </w:rPr>
              <w:t xml:space="preserve">fair:explainsDecisionOf</w:t>
            </w:r>
          </w:p>
        </w:tc>
        <w:tc>
          <w:tcPr>
            <w:tcW w:type="dxa" w:w="3429"/>
          </w:tcPr>
          <w:p>
            <w:pPr>
              <w:pStyle w:val="Compact"/>
              <w:spacing w:after="40"/>
              <w:jc w:val="left"/>
            </w:pPr>
            <w:r>
              <w:rPr>
                <w:rStyle w:val="VerbatimChar"/>
                <w:sz w:val="22"/>
              </w:rPr>
              <w:t xml:space="preserve">fair:AdverseActionReason</w:t>
            </w:r>
            <w:r>
              <w:rPr>
                <w:sz w:val="22"/>
              </w:rPr>
              <w:t xml:space="preserve"> </w:t>
            </w:r>
            <w:r>
              <w:rPr>
                <w:sz w:val="22"/>
              </w:rPr>
              <w:t xml:space="preserve">→</w:t>
            </w:r>
            <w:r>
              <w:rPr>
                <w:sz w:val="22"/>
              </w:rPr>
              <w:t xml:space="preserve"> </w:t>
            </w:r>
            <w:r>
              <w:rPr>
                <w:rStyle w:val="VerbatimChar"/>
                <w:sz w:val="22"/>
              </w:rPr>
              <w:t xml:space="preserve">fair:ModelVersion</w:t>
            </w:r>
          </w:p>
        </w:tc>
        <w:tc>
          <w:tcPr>
            <w:tcW w:type="dxa" w:w="2299"/>
          </w:tcPr>
          <w:p>
            <w:pPr>
              <w:pStyle w:val="Compact"/>
              <w:spacing w:after="40"/>
              <w:jc w:val="left"/>
            </w:pPr>
            <w:r>
              <w:rPr>
                <w:sz w:val="22"/>
              </w:rPr>
              <w:t xml:space="preserve">Modelo cuya decisión se explica</w:t>
            </w:r>
          </w:p>
        </w:tc>
      </w:tr>
      <w:tr>
        <w:tc>
          <w:tcPr>
            <w:tcW w:type="dxa" w:w="3286"/>
          </w:tcPr>
          <w:p>
            <w:pPr>
              <w:pStyle w:val="Compact"/>
              <w:spacing w:after="40"/>
              <w:jc w:val="left"/>
            </w:pPr>
            <w:r>
              <w:rPr>
                <w:rStyle w:val="VerbatimChar"/>
                <w:sz w:val="22"/>
              </w:rPr>
              <w:t xml:space="preserve">fair:raisedOn</w:t>
            </w:r>
          </w:p>
        </w:tc>
        <w:tc>
          <w:tcPr>
            <w:tcW w:type="dxa" w:w="3429"/>
          </w:tcPr>
          <w:p>
            <w:pPr>
              <w:pStyle w:val="Compact"/>
              <w:spacing w:after="40"/>
              <w:jc w:val="left"/>
            </w:pPr>
            <w:r>
              <w:rPr>
                <w:rStyle w:val="VerbatimChar"/>
                <w:sz w:val="22"/>
              </w:rPr>
              <w:t xml:space="preserve">fair:DriftAlert</w:t>
            </w:r>
            <w:r>
              <w:rPr>
                <w:sz w:val="22"/>
              </w:rPr>
              <w:t xml:space="preserve"> </w:t>
            </w:r>
            <w:r>
              <w:rPr>
                <w:sz w:val="22"/>
              </w:rPr>
              <w:t xml:space="preserve">→</w:t>
            </w:r>
            <w:r>
              <w:rPr>
                <w:sz w:val="22"/>
              </w:rPr>
              <w:t xml:space="preserve"> </w:t>
            </w:r>
            <w:r>
              <w:rPr>
                <w:rStyle w:val="VerbatimChar"/>
                <w:sz w:val="22"/>
              </w:rPr>
              <w:t xml:space="preserve">fair:DataBatch</w:t>
            </w:r>
          </w:p>
        </w:tc>
        <w:tc>
          <w:tcPr>
            <w:tcW w:type="dxa" w:w="2299"/>
          </w:tcPr>
          <w:p>
            <w:pPr>
              <w:pStyle w:val="Compact"/>
              <w:spacing w:after="40"/>
              <w:jc w:val="left"/>
            </w:pPr>
            <w:r>
              <w:rPr>
                <w:sz w:val="22"/>
              </w:rPr>
              <w:t xml:space="preserve">Lote de producción donde se detectó la deriva</w:t>
            </w:r>
          </w:p>
        </w:tc>
      </w:tr>
      <w:tr>
        <w:tc>
          <w:tcPr>
            <w:tcW w:type="dxa" w:w="3286"/>
          </w:tcPr>
          <w:p>
            <w:pPr>
              <w:pStyle w:val="Compact"/>
              <w:spacing w:after="40"/>
              <w:jc w:val="left"/>
            </w:pPr>
            <w:r>
              <w:rPr>
                <w:rStyle w:val="VerbatimChar"/>
                <w:sz w:val="22"/>
              </w:rPr>
              <w:t xml:space="preserve">fair:documents</w:t>
            </w:r>
          </w:p>
        </w:tc>
        <w:tc>
          <w:tcPr>
            <w:tcW w:type="dxa" w:w="3429"/>
          </w:tcPr>
          <w:p>
            <w:pPr>
              <w:pStyle w:val="Compact"/>
              <w:spacing w:after="40"/>
              <w:jc w:val="left"/>
            </w:pPr>
            <w:r>
              <w:rPr>
                <w:rStyle w:val="VerbatimChar"/>
                <w:sz w:val="22"/>
              </w:rPr>
              <w:t xml:space="preserve">fair:ComplianceReport</w:t>
            </w:r>
            <w:r>
              <w:rPr>
                <w:sz w:val="22"/>
              </w:rPr>
              <w:t xml:space="preserve"> </w:t>
            </w:r>
            <w:r>
              <w:rPr>
                <w:sz w:val="22"/>
              </w:rPr>
              <w:t xml:space="preserve">→</w:t>
            </w:r>
            <w:r>
              <w:rPr>
                <w:sz w:val="22"/>
              </w:rPr>
              <w:t xml:space="preserve"> </w:t>
            </w:r>
            <w:r>
              <w:rPr>
                <w:rStyle w:val="VerbatimChar"/>
                <w:sz w:val="22"/>
              </w:rPr>
              <w:t xml:space="preserve">fair:GateExecution</w:t>
            </w:r>
            <w:r>
              <w:rPr>
                <w:sz w:val="22"/>
              </w:rPr>
              <w:t xml:space="preserve"> </w:t>
            </w:r>
            <w:r>
              <w:rPr>
                <w:sz w:val="22"/>
              </w:rPr>
              <w:t xml:space="preserve">/</w:t>
            </w:r>
            <w:r>
              <w:rPr>
                <w:sz w:val="22"/>
              </w:rPr>
              <w:t xml:space="preserve"> </w:t>
            </w:r>
            <w:r>
              <w:rPr>
                <w:rStyle w:val="VerbatimChar"/>
                <w:sz w:val="22"/>
              </w:rPr>
              <w:t xml:space="preserve">fair:DriftAlert</w:t>
            </w:r>
          </w:p>
        </w:tc>
        <w:tc>
          <w:tcPr>
            <w:tcW w:type="dxa" w:w="2299"/>
          </w:tcPr>
          <w:p>
            <w:pPr>
              <w:pStyle w:val="Compact"/>
              <w:spacing w:after="40"/>
              <w:jc w:val="left"/>
            </w:pPr>
            <w:r>
              <w:rPr>
                <w:sz w:val="22"/>
              </w:rPr>
              <w:t xml:space="preserve">Hechos incluidos en el reporte de cumplimiento</w:t>
            </w:r>
          </w:p>
        </w:tc>
      </w:tr>
    </w:tbl>
    <w:p>
      <w:pPr>
        <w:pStyle w:val="BodyText"/>
        <w:keepNext w:val="0"/>
        <w:jc w:val="center"/>
      </w:pPr>
      <w:r>
        <w:rPr>
          <w:b/>
          <w:bCs/>
        </w:rPr>
        <w:t xml:space="preserve">Tabla 13: Propiedades principales de la Ontología de Fairness</w:t>
      </w:r>
    </w:p>
    <w:p>
      <w:pPr>
        <w:pStyle w:val="BodyText"/>
      </w:pPr>
      <w:r>
        <w:t xml:space="preserve">Las propiedades de datos asocian valores literales a los nodos del grafo:</w:t>
      </w:r>
      <w:r>
        <w:t xml:space="preserve"> </w:t>
      </w:r>
      <w:r>
        <w:rPr>
          <w:rStyle w:val="VerbatimChar"/>
        </w:rPr>
        <w:t xml:space="preserve">dqv:value</w:t>
      </w:r>
      <w:r>
        <w:t xml:space="preserve"> </w:t>
      </w:r>
      <w:r>
        <w:t xml:space="preserve">(valor de la métrica),</w:t>
      </w:r>
      <w:r>
        <w:t xml:space="preserve"> </w:t>
      </w:r>
      <w:r>
        <w:rPr>
          <w:rStyle w:val="VerbatimChar"/>
        </w:rPr>
        <w:t xml:space="preserve">fair:ciLow</w:t>
      </w:r>
      <w:r>
        <w:t xml:space="preserve"> </w:t>
      </w:r>
      <w:r>
        <w:t xml:space="preserve">y</w:t>
      </w:r>
      <w:r>
        <w:t xml:space="preserve"> </w:t>
      </w:r>
      <w:r>
        <w:rPr>
          <w:rStyle w:val="VerbatimChar"/>
        </w:rPr>
        <w:t xml:space="preserve">fair:ciHigh</w:t>
      </w:r>
      <w:r>
        <w:t xml:space="preserve"> </w:t>
      </w:r>
      <w:r>
        <w:t xml:space="preserve">(intervalo de confianza),</w:t>
      </w:r>
      <w:r>
        <w:t xml:space="preserve"> </w:t>
      </w:r>
      <w:r>
        <w:rPr>
          <w:rStyle w:val="VerbatimChar"/>
        </w:rPr>
        <w:t xml:space="preserve">fair:threshold</w:t>
      </w:r>
      <w:r>
        <w:t xml:space="preserve">,</w:t>
      </w:r>
      <w:r>
        <w:t xml:space="preserve"> </w:t>
      </w:r>
      <w:r>
        <w:rPr>
          <w:rStyle w:val="VerbatimChar"/>
        </w:rPr>
        <w:t xml:space="preserve">fair:operator</w:t>
      </w:r>
      <w:r>
        <w:t xml:space="preserve"> </w:t>
      </w:r>
      <w:r>
        <w:t xml:space="preserve">y</w:t>
      </w:r>
      <w:r>
        <w:t xml:space="preserve"> </w:t>
      </w:r>
      <w:r>
        <w:rPr>
          <w:rStyle w:val="VerbatimChar"/>
        </w:rPr>
        <w:t xml:space="preserve">fair:severity</w:t>
      </w:r>
      <w:r>
        <w:t xml:space="preserve"> </w:t>
      </w:r>
      <w:r>
        <w:t xml:space="preserve">(definición de la regla),</w:t>
      </w:r>
      <w:r>
        <w:t xml:space="preserve"> </w:t>
      </w:r>
      <w:r>
        <w:rPr>
          <w:rStyle w:val="VerbatimChar"/>
        </w:rPr>
        <w:t xml:space="preserve">fair:gatePassed</w:t>
      </w:r>
      <w:r>
        <w:t xml:space="preserve"> </w:t>
      </w:r>
      <w:r>
        <w:t xml:space="preserve">(resultado lógico),</w:t>
      </w:r>
      <w:r>
        <w:t xml:space="preserve"> </w:t>
      </w:r>
      <w:r>
        <w:rPr>
          <w:rStyle w:val="VerbatimChar"/>
        </w:rPr>
        <w:t xml:space="preserve">fair:dvcHash</w:t>
      </w:r>
      <w:r>
        <w:t xml:space="preserve"> </w:t>
      </w:r>
      <w:r>
        <w:t xml:space="preserve">y</w:t>
      </w:r>
      <w:r>
        <w:t xml:space="preserve"> </w:t>
      </w:r>
      <w:r>
        <w:rPr>
          <w:rStyle w:val="VerbatimChar"/>
        </w:rPr>
        <w:t xml:space="preserve">fair:recordsCount</w:t>
      </w:r>
      <w:r>
        <w:t xml:space="preserve"> </w:t>
      </w:r>
      <w:r>
        <w:t xml:space="preserve">(identificación del lote), y</w:t>
      </w:r>
      <w:r>
        <w:t xml:space="preserve"> </w:t>
      </w:r>
      <w:r>
        <w:rPr>
          <w:rStyle w:val="VerbatimChar"/>
        </w:rPr>
        <w:t xml:space="preserve">prov:startedAtTime</w:t>
      </w:r>
      <w:r>
        <w:t xml:space="preserve"> </w:t>
      </w:r>
      <w:r>
        <w:t xml:space="preserve">(marca temporal de la ejecución). Todas ellas están cubiertas por formas SHACL, de modo que el indicador se verifica de manera automática: un grafo que no conforma las formas no se incorpora al repositorio.</w:t>
      </w:r>
    </w:p>
    <w:bookmarkEnd w:id="99"/>
    <w:bookmarkEnd w:id="100"/>
    <w:bookmarkStart w:id="106" w:name="discusión"/>
    <w:p>
      <w:pPr>
        <w:pStyle w:val="Heading2"/>
      </w:pPr>
      <w:r>
        <w:t xml:space="preserve">4.5. Discusión</w:t>
      </w:r>
    </w:p>
    <w:bookmarkStart w:id="101" w:name="síntesis-de-los-resultados-principales"/>
    <w:p>
      <w:pPr>
        <w:pStyle w:val="Heading3"/>
      </w:pPr>
      <w:r>
        <w:t xml:space="preserve">4.5.1. Síntesis de los resultados principales</w:t>
      </w:r>
    </w:p>
    <w:p>
      <w:pPr>
        <w:pStyle w:val="FirstParagraph"/>
      </w:pPr>
      <w:r>
        <w:t xml:space="preserve">El desarrollo del Objetivo Específico 2 consolidó un diseño abstracto, matemático y semántico para el aseguramiento de la equidad en el scoring crediticio. El primer resultado (R.E.2.1) define la topología bajo el Modelo C4: cuatro zonas operativas, un motor de contratos y un canal de linaje transversales, y cuatro compuertas de calidad ubicadas en los datos, en cada transformador, en el modelo y en la operación. El segundo resultado (R.E.2.2) formaliza los Contratos C1 a C4 en un esquema declarativo común, con métricas simétricas o direccionales según la información disponible, decisiones basadas en intervalos de confianza y una remediación explícita en el Contrato C3. El tercer resultado (R.E.2.3) modela la trazabilidad reutilizando PROV-O y DQV y garantiza su completitud con formas SHACL.</w:t>
      </w:r>
    </w:p>
    <w:bookmarkEnd w:id="101"/>
    <w:bookmarkStart w:id="102" w:name="X4de0ee2b78987aa49a6871bb97323617ecbeec7"/>
    <w:p>
      <w:pPr>
        <w:pStyle w:val="Heading3"/>
      </w:pPr>
      <w:r>
        <w:t xml:space="preserve">4.5.2. Interpretación del significado de los resultados</w:t>
      </w:r>
    </w:p>
    <w:p>
      <w:pPr>
        <w:pStyle w:val="FirstParagraph"/>
      </w:pPr>
      <w:r>
        <w:t xml:space="preserve">En primer lugar, el diseño traslada el aseguramiento de la equidad desde una auditoría tardía y</w:t>
      </w:r>
      <w:r>
        <w:t xml:space="preserve"> </w:t>
      </w:r>
      <w:r>
        <w:rPr>
          <w:i/>
          <w:iCs/>
        </w:rPr>
        <w:t xml:space="preserve">post-hoc</w:t>
      </w:r>
      <w:r>
        <w:t xml:space="preserve"> </w:t>
      </w:r>
      <w:r>
        <w:t xml:space="preserve">hacia un control continuo y preventivo (</w:t>
      </w:r>
      <w:r>
        <w:rPr>
          <w:i/>
          <w:iCs/>
        </w:rPr>
        <w:t xml:space="preserve">Shift-Left Testing</w:t>
      </w:r>
      <w:r>
        <w:t xml:space="preserve">). Al evaluar cada transformador por separado, el Contrato C2 no solo detecta la filtración de información del atributo protegido, sino que</w:t>
      </w:r>
      <w:r>
        <w:t xml:space="preserve"> </w:t>
      </w:r>
      <w:r>
        <w:rPr>
          <w:b/>
          <w:bCs/>
        </w:rPr>
        <w:t xml:space="preserve">localiza</w:t>
      </w:r>
      <w:r>
        <w:t xml:space="preserve"> </w:t>
      </w:r>
      <w:r>
        <w:t xml:space="preserve">el paso que la introdujo, que es la capacidad que un análisis de caja negra sobre el modelo final no ofrece (Biswas &amp; Rajan, 2021).</w:t>
      </w:r>
    </w:p>
    <w:p>
      <w:pPr>
        <w:pStyle w:val="BodyText"/>
      </w:pPr>
      <w:r>
        <w:t xml:space="preserve">En segundo lugar, la remediación explícita del Contrato C3 convierte el dilema de precisión frente a equidad en una decisión documentada: el sistema registra el modelo base y el remediado con sus métricas de exactitud y equidad, lo que permite justificar ante un auditor por qué se desplegó un clasificador determinado y a qué costo (Menon &amp; Williamson, 2018; Hardt et al., 2016). El uso de intervalos de confianza evita que esas decisiones dependan del azar de una partición de datos cuando los grupos protegidos son pequeños (Efron &amp; Tibshirani, 1993).</w:t>
      </w:r>
    </w:p>
    <w:p>
      <w:pPr>
        <w:pStyle w:val="BodyText"/>
      </w:pPr>
      <w:r>
        <w:t xml:space="preserve">Finalmente, la trazabilidad semántica permite responder de forma declarativa preguntas de auditoría, incluidas las razones específicas de un rechazo, que la ECOA exige comunicar al solicitante y que el Reglamento peruano vincula con la transparencia algorítmica de los sistemas de riesgo alto (ECOA, 1974; PCM, 2025).</w:t>
      </w:r>
    </w:p>
    <w:bookmarkEnd w:id="102"/>
    <w:bookmarkStart w:id="103" w:name="X98feedabcadf34db765ff9293de793a6fc3f1d2"/>
    <w:p>
      <w:pPr>
        <w:pStyle w:val="Heading3"/>
      </w:pPr>
      <w:r>
        <w:t xml:space="preserve">4.5.3. Contextualización con la revisión de la literatura</w:t>
      </w:r>
    </w:p>
    <w:p>
      <w:pPr>
        <w:pStyle w:val="Compact"/>
        <w:numPr>
          <w:ilvl w:val="0"/>
          <w:numId w:val="1041"/>
        </w:numPr>
      </w:pPr>
      <w:r>
        <w:rPr>
          <w:b/>
          <w:bCs/>
        </w:rPr>
        <w:t xml:space="preserve">Contratos de equidad:</w:t>
      </w:r>
      <w:r>
        <w:t xml:space="preserve"> </w:t>
      </w:r>
      <w:r>
        <w:t xml:space="preserve">el uso de precondiciones y postcondiciones modulares se alinea con la propuesta de Nguyen (2024). Mientras que esos trabajos aplican los contratos y verificadores de equidad sobre el programa de</w:t>
      </w:r>
      <w:r>
        <w:t xml:space="preserve"> </w:t>
      </w:r>
      <w:r>
        <w:rPr>
          <w:i/>
          <w:iCs/>
        </w:rPr>
        <w:t xml:space="preserve">Machine Learning</w:t>
      </w:r>
      <w:r>
        <w:t xml:space="preserve"> </w:t>
      </w:r>
      <w:r>
        <w:t xml:space="preserve">durante su desarrollo y ejecución, la arquitectura propuesta los integra en un flujo de entrega continua, añade la remediación como parte del contrato y extiende el control a la operación mediante el Contrato C4.</w:t>
      </w:r>
    </w:p>
    <w:p>
      <w:pPr>
        <w:pStyle w:val="Compact"/>
        <w:numPr>
          <w:ilvl w:val="0"/>
          <w:numId w:val="1041"/>
        </w:numPr>
      </w:pPr>
      <w:r>
        <w:rPr>
          <w:b/>
          <w:bCs/>
        </w:rPr>
        <w:t xml:space="preserve">Sesgo composicional:</w:t>
      </w:r>
      <w:r>
        <w:t xml:space="preserve"> </w:t>
      </w:r>
      <w:r>
        <w:t xml:space="preserve">la evaluación paso a paso del Contrato C2 responde a la caracterización del sesgo composicional de Biswas y Rajan (2021). La formulación propuesta lo convierte en una regla declarativa con tope absoluto, incremento máximo por paso y localización del transformador responsable.</w:t>
      </w:r>
    </w:p>
    <w:p>
      <w:pPr>
        <w:pStyle w:val="Compact"/>
        <w:numPr>
          <w:ilvl w:val="0"/>
          <w:numId w:val="1041"/>
        </w:numPr>
      </w:pPr>
      <w:r>
        <w:rPr>
          <w:b/>
          <w:bCs/>
        </w:rPr>
        <w:t xml:space="preserve">Inspección en integración continua:</w:t>
      </w:r>
      <w:r>
        <w:t xml:space="preserve"> </w:t>
      </w:r>
      <w:r>
        <w:t xml:space="preserve">al igual que ArgusEyes, que evalúa los pipelines en la integración continua para detectar problemas antes del despliegue (Schelter et al., 2023), el diseño bloquea la entrega ante violaciones. Además, incorpora la cuantificación de la incertidumbre y el registro semántico de cada decisión.</w:t>
      </w:r>
    </w:p>
    <w:p>
      <w:pPr>
        <w:pStyle w:val="Compact"/>
        <w:numPr>
          <w:ilvl w:val="0"/>
          <w:numId w:val="1041"/>
        </w:numPr>
      </w:pPr>
      <w:r>
        <w:rPr>
          <w:b/>
          <w:bCs/>
        </w:rPr>
        <w:t xml:space="preserve">Trazabilidad:</w:t>
      </w:r>
      <w:r>
        <w:t xml:space="preserve"> </w:t>
      </w:r>
      <w:r>
        <w:t xml:space="preserve">el diseño se basa en el enfoque de documentación de sesgos mediante grafos de conocimiento de Russo et al. (2024) y Russo y Vidal (2025). A diferencia de esos trabajos, reutiliza vocabularios estándar del W3C (PROV-O, DQV) para el linaje y las mediciones, y valida cada registro con SHACL, lo que reduce la dependencia de una herramienta específica.</w:t>
      </w:r>
    </w:p>
    <w:p>
      <w:pPr>
        <w:pStyle w:val="Compact"/>
        <w:numPr>
          <w:ilvl w:val="0"/>
          <w:numId w:val="1041"/>
        </w:numPr>
      </w:pPr>
      <w:r>
        <w:rPr>
          <w:b/>
          <w:bCs/>
        </w:rPr>
        <w:t xml:space="preserve">Pruebas de estrés:</w:t>
      </w:r>
      <w:r>
        <w:t xml:space="preserve"> </w:t>
      </w:r>
      <w:r>
        <w:t xml:space="preserve">los escenarios de evaluación del Objetivo 4 siguen la idea de inyectar corrupciones estructuradas en los datos para evaluar la robustez del pipeline propuesta por Zhu et al. (2025).</w:t>
      </w:r>
    </w:p>
    <w:bookmarkEnd w:id="103"/>
    <w:bookmarkStart w:id="104" w:name="generalización-de-los-resultados"/>
    <w:p>
      <w:pPr>
        <w:pStyle w:val="Heading3"/>
      </w:pPr>
      <w:r>
        <w:t xml:space="preserve">4.5.4. Generalización de los resultados</w:t>
      </w:r>
    </w:p>
    <w:p>
      <w:pPr>
        <w:pStyle w:val="FirstParagraph"/>
      </w:pPr>
      <w:r>
        <w:t xml:space="preserve">Aunque el diseño se verticalizó sobre el scoring crediticio, las especificaciones de los contratos y la ontología son independientes del dataset: basta un nuevo archivo YAML para aplicar las mismas compuertas a otro caso. El segundo caso de estudio (HMDA) está previsto precisamente para verificar esta propiedad con datos de otra naturaleza (decisiones de aprobación hipotecaria en Estados Unidos) y con atributos protegidos distintos (FFIEC, s.f.). Ejemplos de generalización sectorial incluyen:</w:t>
      </w:r>
    </w:p>
    <w:p>
      <w:pPr>
        <w:pStyle w:val="Compact"/>
        <w:numPr>
          <w:ilvl w:val="0"/>
          <w:numId w:val="1042"/>
        </w:numPr>
      </w:pPr>
      <w:r>
        <w:rPr>
          <w:b/>
          <w:bCs/>
        </w:rPr>
        <w:t xml:space="preserve">Selección de personal:</w:t>
      </w:r>
      <w:r>
        <w:t xml:space="preserve"> </w:t>
      </w:r>
      <w:r>
        <w:t xml:space="preserve">configurando la QA Gate 3 para evaluar el Impacto Dispar en las tasas de contratación, que es el contexto original de la regla de los cuatro quintos (Uniform Guidelines on Employee Selection Procedures, 1978).</w:t>
      </w:r>
    </w:p>
    <w:p>
      <w:pPr>
        <w:pStyle w:val="Compact"/>
        <w:numPr>
          <w:ilvl w:val="0"/>
          <w:numId w:val="1042"/>
        </w:numPr>
      </w:pPr>
      <w:r>
        <w:rPr>
          <w:b/>
          <w:bCs/>
        </w:rPr>
        <w:t xml:space="preserve">Suscripción de seguros:</w:t>
      </w:r>
      <w:r>
        <w:t xml:space="preserve"> </w:t>
      </w:r>
      <w:r>
        <w:t xml:space="preserve">usando la QA Gate 2 para identificar si variables como el código postal actúan como sustitutos de atributos protegidos.</w:t>
      </w:r>
    </w:p>
    <w:p>
      <w:pPr>
        <w:pStyle w:val="Compact"/>
        <w:numPr>
          <w:ilvl w:val="0"/>
          <w:numId w:val="1042"/>
        </w:numPr>
      </w:pPr>
      <w:r>
        <w:rPr>
          <w:b/>
          <w:bCs/>
        </w:rPr>
        <w:t xml:space="preserve">Admisión universitaria o becas:</w:t>
      </w:r>
      <w:r>
        <w:t xml:space="preserve"> </w:t>
      </w:r>
      <w:r>
        <w:t xml:space="preserve">evaluando la paridad en las tasas de selección de colectivos desfavorecidos.</w:t>
      </w:r>
    </w:p>
    <w:bookmarkEnd w:id="104"/>
    <w:bookmarkStart w:id="105" w:name="limitaciones-de-los-resultados"/>
    <w:p>
      <w:pPr>
        <w:pStyle w:val="Heading3"/>
      </w:pPr>
      <w:r>
        <w:t xml:space="preserve">4.5.5. Limitaciones de los resultados</w:t>
      </w:r>
    </w:p>
    <w:p>
      <w:pPr>
        <w:pStyle w:val="Compact"/>
        <w:numPr>
          <w:ilvl w:val="0"/>
          <w:numId w:val="1043"/>
        </w:numPr>
      </w:pPr>
      <w:r>
        <w:rPr>
          <w:b/>
          <w:bCs/>
        </w:rPr>
        <w:t xml:space="preserve">Datos estructurados y tabulares:</w:t>
      </w:r>
      <w:r>
        <w:t xml:space="preserve"> </w:t>
      </w:r>
      <w:r>
        <w:t xml:space="preserve">los contratos y el validador de esquemas están especificados para datos tabulares; el diseño no abarca texto libre ni imágenes. Esta delimitación se justifica porque el scoring crediticio opera mayoritariamente sobre variables cuantitativas y categóricas.</w:t>
      </w:r>
    </w:p>
    <w:p>
      <w:pPr>
        <w:pStyle w:val="Compact"/>
        <w:numPr>
          <w:ilvl w:val="0"/>
          <w:numId w:val="1043"/>
        </w:numPr>
      </w:pPr>
      <w:r>
        <w:rPr>
          <w:b/>
          <w:bCs/>
        </w:rPr>
        <w:t xml:space="preserve">Disponibilidad y codificación de los atributos protegidos:</w:t>
      </w:r>
      <w:r>
        <w:t xml:space="preserve"> </w:t>
      </w:r>
      <w:r>
        <w:t xml:space="preserve">las compuertas asumen que los atributos protegidos están disponibles en el entorno de validación. En el caso Davronov, además, la codificación de</w:t>
      </w:r>
      <w:r>
        <w:t xml:space="preserve"> </w:t>
      </w:r>
      <w:r>
        <w:rPr>
          <w:rStyle w:val="VerbatimChar"/>
        </w:rPr>
        <w:t xml:space="preserve">Sex</w:t>
      </w:r>
      <w:r>
        <w:t xml:space="preserve"> </w:t>
      </w:r>
      <w:r>
        <w:t xml:space="preserve">no está documentada, por lo que se usan métricas simétricas y no es posible afirmar qué grupo resulta desfavorecido. El Reglamento europeo solo permite procesar categorías especiales de datos con el fin de detectar y corregir sesgos y bajo salvaguardias, que en el diseño se materializan en la seudonimización de la Zona 3 (Reglamento IA UE, 2024).</w:t>
      </w:r>
    </w:p>
    <w:p>
      <w:pPr>
        <w:pStyle w:val="Compact"/>
        <w:numPr>
          <w:ilvl w:val="0"/>
          <w:numId w:val="1043"/>
        </w:numPr>
      </w:pPr>
      <w:r>
        <w:rPr>
          <w:b/>
          <w:bCs/>
        </w:rPr>
        <w:t xml:space="preserve">Procedencia y licencia del dataset principal:</w:t>
      </w:r>
      <w:r>
        <w:t xml:space="preserve"> </w:t>
      </w:r>
      <w:r>
        <w:t xml:space="preserve">el dataset Davronov se publica sin diccionario de columnas y con una licencia que reserva los derechos a sus autores (</w:t>
      </w:r>
      <w:r>
        <w:t xml:space="preserve">“Data files © Original Authors”</w:t>
      </w:r>
      <w:r>
        <w:t xml:space="preserve">); su origen en una fintech de Asia Central se conoce por la literatura que lo utiliza (Davronov, 2021; Giang Thi Thu et al., 2024). Por ello, los repositorios del proyecto son privados y el dataset no se redistribuye.</w:t>
      </w:r>
    </w:p>
    <w:p>
      <w:pPr>
        <w:pStyle w:val="Compact"/>
        <w:numPr>
          <w:ilvl w:val="0"/>
          <w:numId w:val="1043"/>
        </w:numPr>
      </w:pPr>
      <w:r>
        <w:rPr>
          <w:b/>
          <w:bCs/>
        </w:rPr>
        <w:t xml:space="preserve">Operación simulada:</w:t>
      </w:r>
      <w:r>
        <w:t xml:space="preserve"> </w:t>
      </w:r>
      <w:r>
        <w:t xml:space="preserve">el dataset Davronov no contiene marcas temporales, por lo que la deriva en la Zona 3 se simula con lotes derivados del conjunto de prueba. La deriva real se evalúa con HMDA, cuya etiqueta es la decisión del prestamista y no el comportamiento de pago.</w:t>
      </w:r>
    </w:p>
    <w:p>
      <w:pPr>
        <w:pStyle w:val="Compact"/>
        <w:numPr>
          <w:ilvl w:val="0"/>
          <w:numId w:val="1043"/>
        </w:numPr>
      </w:pPr>
      <w:r>
        <w:rPr>
          <w:b/>
          <w:bCs/>
        </w:rPr>
        <w:t xml:space="preserve">Umbrales calibrados:</w:t>
      </w:r>
      <w:r>
        <w:t xml:space="preserve"> </w:t>
      </w:r>
      <w:r>
        <w:t xml:space="preserve">los umbrales del Contrato C2 (0,60 y 0,02) no provienen de una norma, sino de la calibración con casos conocidos, y deben revisarse al cambiar de dataset.</w:t>
      </w:r>
    </w:p>
    <w:p>
      <w:pPr>
        <w:pStyle w:val="Compact"/>
        <w:numPr>
          <w:ilvl w:val="0"/>
          <w:numId w:val="1043"/>
        </w:numPr>
      </w:pPr>
      <w:r>
        <w:rPr>
          <w:b/>
          <w:bCs/>
        </w:rPr>
        <w:t xml:space="preserve">Costo computacional:</w:t>
      </w:r>
      <w:r>
        <w:t xml:space="preserve"> </w:t>
      </w:r>
      <w:r>
        <w:t xml:space="preserve">la estimación por</w:t>
      </w:r>
      <w:r>
        <w:t xml:space="preserve"> </w:t>
      </w:r>
      <w:r>
        <w:rPr>
          <w:i/>
          <w:iCs/>
        </w:rPr>
        <w:t xml:space="preserve">bootstrap</w:t>
      </w:r>
      <w:r>
        <w:t xml:space="preserve"> </w:t>
      </w:r>
      <w:r>
        <w:t xml:space="preserve">y el cálculo de SHAP añaden tiempo de ejecución al pipeline. Se mitiga usando un modelo lineal, para el cual el cálculo de las contribuciones de SHAP es computacionalmente sencillo, y limitando el número de remuestreos a lo necesario para intervalos estables.</w:t>
      </w:r>
    </w:p>
    <w:bookmarkEnd w:id="105"/>
    <w:bookmarkEnd w:id="106"/>
    <w:bookmarkEnd w:id="107"/>
    <w:bookmarkStart w:id="130" w:name="X111f586577965540707d98b28b30b263198db20"/>
    <w:p>
      <w:pPr>
        <w:pStyle w:val="Heading1"/>
      </w:pPr>
      <w:r>
        <w:t xml:space="preserve">Capítulo 5: Implementación de la propuesta de solución</w:t>
      </w:r>
    </w:p>
    <w:bookmarkStart w:id="108" w:name="introducción-2"/>
    <w:p>
      <w:pPr>
        <w:pStyle w:val="Heading2"/>
      </w:pPr>
      <w:r>
        <w:t xml:space="preserve">5.1. Introducción</w:t>
      </w:r>
    </w:p>
    <w:p>
      <w:pPr>
        <w:pStyle w:val="FirstParagraph"/>
      </w:pPr>
      <w:r>
        <w:t xml:space="preserve">El presente capítulo documenta la implementación del prototipo funcional de la arquitectura MLOps diseñada en el Capítulo 4, correspondiente al Objetivo Específico 3 (O3) del proyecto. Mientras que el capítulo anterior estableció el</w:t>
      </w:r>
      <w:r>
        <w:t xml:space="preserve"> </w:t>
      </w:r>
      <w:r>
        <w:rPr>
          <w:i/>
          <w:iCs/>
        </w:rPr>
        <w:t xml:space="preserve">qué</w:t>
      </w:r>
      <w:r>
        <w:t xml:space="preserve"> </w:t>
      </w:r>
      <w:r>
        <w:t xml:space="preserve">(la estructura de cuatro zonas modelada con C4, el esquema declarativo común de los Contratos de Equidad C1 a C4 y la Ontología de Fairness), este capítulo aborda el</w:t>
      </w:r>
      <w:r>
        <w:t xml:space="preserve"> </w:t>
      </w:r>
      <w:r>
        <w:rPr>
          <w:i/>
          <w:iCs/>
        </w:rPr>
        <w:t xml:space="preserve">cómo</w:t>
      </w:r>
      <w:r>
        <w:t xml:space="preserve">: la materialización de ese diseño en un sistema ejecutable, verificable y reproducible.</w:t>
      </w:r>
    </w:p>
    <w:p>
      <w:pPr>
        <w:pStyle w:val="BodyText"/>
      </w:pPr>
      <w:r>
        <w:t xml:space="preserve">La implementación se organiza en torno a los tres resultados esperados del Objetivo 3. El resultado R.E.3.1 comprende la infraestructura base: los repositorios privados de código y datos, el versionado de datos mediante DVC, el motor de contratos y la automatización del</w:t>
      </w:r>
      <w:r>
        <w:t xml:space="preserve"> </w:t>
      </w:r>
      <w:r>
        <w:rPr>
          <w:i/>
          <w:iCs/>
        </w:rPr>
        <w:t xml:space="preserve">pipeline</w:t>
      </w:r>
      <w:r>
        <w:t xml:space="preserve"> </w:t>
      </w:r>
      <w:r>
        <w:t xml:space="preserve">de integración continua mediante GitHub Actions. El resultado R.E.3.2 corresponde a la programación de las compuertas de calidad (</w:t>
      </w:r>
      <w:r>
        <w:rPr>
          <w:i/>
          <w:iCs/>
        </w:rPr>
        <w:t xml:space="preserve">QA Gates</w:t>
      </w:r>
      <w:r>
        <w:t xml:space="preserve">) que materializan los Contratos C1, C2 y C3 como pruebas automatizadas generadas por el motor de contratos, incluida la remediación del Contrato C3. Finalmente, el resultado R.E.3.3 aborda el servicio de monitoreo y registro: el canal de linaje en MLflow, el Contrato C4 sobre lotes de producción, la generación de razones de rechazo y la exportación del linaje al grafo de conocimiento.</w:t>
      </w:r>
    </w:p>
    <w:p>
      <w:pPr>
        <w:pStyle w:val="BodyText"/>
      </w:pPr>
      <w:r>
        <w:t xml:space="preserve">Cada sección sigue una estructura uniforme de cuatro apartados. El primero describe el resultado alcanzado en términos de los artefactos producidos. El segundo detalla la metodología seguida y las condiciones necesarias para reproducir el resultado en otro entorno. El tercero aporta la verificación de existencia: la evidencia concreta y localizable de que el artefacto existe y opera. El cuarto presenta las mediciones obtenidas y valida el indicador definido para ese resultado esperado.</w:t>
      </w:r>
    </w:p>
    <w:p>
      <w:pPr>
        <w:pStyle w:val="BodyText"/>
      </w:pPr>
      <w:r>
        <w:t xml:space="preserve">Conviene señalar una desviación deliberada respecto del orden nominal establecido en el cronograma del proyecto. El cronograma agrupa en R.E.3.1 la configuración de DVC y la de CI/CD, situando ambas antes de la programación de las</w:t>
      </w:r>
      <w:r>
        <w:t xml:space="preserve"> </w:t>
      </w:r>
      <w:r>
        <w:rPr>
          <w:i/>
          <w:iCs/>
        </w:rPr>
        <w:t xml:space="preserve">QA Gates</w:t>
      </w:r>
      <w:r>
        <w:t xml:space="preserve"> </w:t>
      </w:r>
      <w:r>
        <w:t xml:space="preserve">(R.E.3.2). Sin embargo, la ejecución real siguió la secuencia DVC →</w:t>
      </w:r>
      <w:r>
        <w:t xml:space="preserve"> </w:t>
      </w:r>
      <w:r>
        <w:rPr>
          <w:i/>
          <w:iCs/>
        </w:rPr>
        <w:t xml:space="preserve">QA Gates</w:t>
      </w:r>
      <w:r>
        <w:t xml:space="preserve"> </w:t>
      </w:r>
      <w:r>
        <w:t xml:space="preserve">→ CI/CD, por una razón de dependencia técnica: un</w:t>
      </w:r>
      <w:r>
        <w:t xml:space="preserve"> </w:t>
      </w:r>
      <w:r>
        <w:rPr>
          <w:i/>
          <w:iCs/>
        </w:rPr>
        <w:t xml:space="preserve">pipeline</w:t>
      </w:r>
      <w:r>
        <w:t xml:space="preserve"> </w:t>
      </w:r>
      <w:r>
        <w:t xml:space="preserve">de integración continua requiere, para ser configurado y verificado, que existan previamente las pruebas que habrá de ejecutar. Configurar GitHub Actions sobre un repositorio sin lógica de validación produciría un</w:t>
      </w:r>
      <w:r>
        <w:t xml:space="preserve"> </w:t>
      </w:r>
      <w:r>
        <w:rPr>
          <w:i/>
          <w:iCs/>
        </w:rPr>
        <w:t xml:space="preserve">workflow</w:t>
      </w:r>
      <w:r>
        <w:t xml:space="preserve"> </w:t>
      </w:r>
      <w:r>
        <w:t xml:space="preserve">vacío, imposible de validar contra un indicador. Esta reordenación no altera el alcance ni los entregables comprometidos, y la trazabilidad entre tarea planificada y artefacto producido se mantiene íntegra.</w:t>
      </w:r>
    </w:p>
    <w:p>
      <w:pPr>
        <w:pStyle w:val="BodyText"/>
      </w:pPr>
      <w:r>
        <w:t xml:space="preserve">El entorno de desarrollo es una estación de trabajo con sistema operativo Windows y Python 3.11. El mismo conjunto de pruebas se ejecuta en los ejecutores de GitHub Actions (Ubuntu, Python 3.11), con versiones de dependencias fijadas, de acuerdo con el principio de reproducibilidad local y en integración continua establecido en el Capítulo 4. El caso de estudio principal es el conjunto de datos</w:t>
      </w:r>
      <w:r>
        <w:t xml:space="preserve"> </w:t>
      </w:r>
      <w:r>
        <w:t xml:space="preserve">“Credit-scoring data”</w:t>
      </w:r>
      <w:r>
        <w:t xml:space="preserve"> </w:t>
      </w:r>
      <w:r>
        <w:t xml:space="preserve">publicado en Kaggle, reportado como proveniente de una fintech de Asia Central (Davronov, 2021; Giang Thi Thu et al., 2024). Dado que su licencia reserva los derechos a sus autores, los repositorios del proyecto se mantienen privados y el conjunto de datos no se redistribuye; el procedimiento para obtenerlo se documenta en el repositorio. Como caso secundario se emplean datos públicos del registro de solicitudes hipotecarias de Estados Unidos (FFIEC, s.f.).</w:t>
      </w:r>
    </w:p>
    <w:bookmarkEnd w:id="108"/>
    <w:bookmarkStart w:id="113" w:name="X6176ef74d5e2f54edb40dfd0625bc576b373e59"/>
    <w:p>
      <w:pPr>
        <w:pStyle w:val="Heading2"/>
      </w:pPr>
      <w:r>
        <w:t xml:space="preserve">5.2. Infraestructura base: repositorios, versionado de datos, motor de contratos y CI/CD</w:t>
      </w:r>
    </w:p>
    <w:bookmarkStart w:id="109" w:name="descripción-del-resultado-alcanzado-3"/>
    <w:p>
      <w:pPr>
        <w:pStyle w:val="Heading3"/>
      </w:pPr>
      <w:r>
        <w:t xml:space="preserve">5.2.1. Descripción del resultado alcanzado</w:t>
      </w:r>
    </w:p>
    <w:p>
      <w:pPr>
        <w:pStyle w:val="FirstParagraph"/>
      </w:pPr>
      <w:r>
        <w:t xml:space="preserve">Este resultado comprende los componentes de infraestructura que sostienen la operación reproducible y automatizada del resto del sistema: los repositorios privados, el versionado de datos, el motor de contratos y la automatización del</w:t>
      </w:r>
      <w:r>
        <w:t xml:space="preserve"> </w:t>
      </w:r>
      <w:r>
        <w:rPr>
          <w:i/>
          <w:iCs/>
        </w:rPr>
        <w:t xml:space="preserve">pipeline</w:t>
      </w:r>
      <w:r>
        <w:t xml:space="preserve"> </w:t>
      </w:r>
      <w:r>
        <w:t xml:space="preserve">de integración continua.</w:t>
      </w:r>
    </w:p>
    <w:bookmarkEnd w:id="109"/>
    <w:bookmarkStart w:id="110" w:name="X7108f27797e461e05ad6fe9816daabfbcda37a9"/>
    <w:p>
      <w:pPr>
        <w:pStyle w:val="Heading3"/>
      </w:pPr>
      <w:r>
        <w:t xml:space="preserve">5.2.2. Metodología de logro y reproducibilidad</w:t>
      </w:r>
    </w:p>
    <w:bookmarkEnd w:id="110"/>
    <w:bookmarkStart w:id="111" w:name="verificación-de-existencia-3"/>
    <w:p>
      <w:pPr>
        <w:pStyle w:val="Heading3"/>
      </w:pPr>
      <w:r>
        <w:t xml:space="preserve">5.2.3. Verificación de existencia</w:t>
      </w:r>
    </w:p>
    <w:bookmarkEnd w:id="111"/>
    <w:bookmarkStart w:id="112" w:name="mediciones-y-validación-de-indicador-1"/>
    <w:p>
      <w:pPr>
        <w:pStyle w:val="Heading3"/>
      </w:pPr>
      <w:r>
        <w:t xml:space="preserve">5.2.4. Mediciones y validación de indicador</w:t>
      </w:r>
    </w:p>
    <w:bookmarkEnd w:id="112"/>
    <w:bookmarkEnd w:id="113"/>
    <w:bookmarkStart w:id="118" w:name="X6b6ae5e2a978bc39df0e8c89bf5ae2b140e7715"/>
    <w:p>
      <w:pPr>
        <w:pStyle w:val="Heading2"/>
      </w:pPr>
      <w:r>
        <w:t xml:space="preserve">5.3. Programación e instrumentación de las QA Gates</w:t>
      </w:r>
    </w:p>
    <w:bookmarkStart w:id="114" w:name="descripción-del-resultado-alcanzado-4"/>
    <w:p>
      <w:pPr>
        <w:pStyle w:val="Heading3"/>
      </w:pPr>
      <w:r>
        <w:t xml:space="preserve">5.3.1. Descripción del resultado alcanzado</w:t>
      </w:r>
    </w:p>
    <w:bookmarkEnd w:id="114"/>
    <w:bookmarkStart w:id="115" w:name="X0cb88c43b8bdf31d6d966b05ccec388428a56ec"/>
    <w:p>
      <w:pPr>
        <w:pStyle w:val="Heading3"/>
      </w:pPr>
      <w:r>
        <w:t xml:space="preserve">5.3.2. Metodología de logro y reproducibilidad</w:t>
      </w:r>
    </w:p>
    <w:bookmarkEnd w:id="115"/>
    <w:bookmarkStart w:id="116" w:name="verificación-de-existencia-4"/>
    <w:p>
      <w:pPr>
        <w:pStyle w:val="Heading3"/>
      </w:pPr>
      <w:r>
        <w:t xml:space="preserve">5.3.3. Verificación de existencia</w:t>
      </w:r>
    </w:p>
    <w:bookmarkEnd w:id="116"/>
    <w:bookmarkStart w:id="117" w:name="mediciones-y-validación-de-indicador-2"/>
    <w:p>
      <w:pPr>
        <w:pStyle w:val="Heading3"/>
      </w:pPr>
      <w:r>
        <w:t xml:space="preserve">5.3.4. Mediciones y validación de indicador</w:t>
      </w:r>
    </w:p>
    <w:bookmarkEnd w:id="117"/>
    <w:bookmarkEnd w:id="118"/>
    <w:bookmarkStart w:id="123" w:name="X9571071a2a4a2208845532b769491777adc953b"/>
    <w:p>
      <w:pPr>
        <w:pStyle w:val="Heading2"/>
      </w:pPr>
      <w:r>
        <w:t xml:space="preserve">5.4. Integración del servicio de monitoreo, registro y trazabilidad</w:t>
      </w:r>
    </w:p>
    <w:bookmarkStart w:id="119" w:name="descripción-del-resultado-alcanzado-5"/>
    <w:p>
      <w:pPr>
        <w:pStyle w:val="Heading3"/>
      </w:pPr>
      <w:r>
        <w:t xml:space="preserve">5.4.1. Descripción del resultado alcanzado</w:t>
      </w:r>
    </w:p>
    <w:bookmarkEnd w:id="119"/>
    <w:bookmarkStart w:id="120" w:name="X3e0a7c6bdc9706eb738efa8bb215ad4e46c4aa8"/>
    <w:p>
      <w:pPr>
        <w:pStyle w:val="Heading3"/>
      </w:pPr>
      <w:r>
        <w:t xml:space="preserve">5.4.2. Metodología de logro y reproducibilidad</w:t>
      </w:r>
    </w:p>
    <w:bookmarkEnd w:id="120"/>
    <w:bookmarkStart w:id="121" w:name="verificación-de-existencia-5"/>
    <w:p>
      <w:pPr>
        <w:pStyle w:val="Heading3"/>
      </w:pPr>
      <w:r>
        <w:t xml:space="preserve">5.4.3. Verificación de existencia</w:t>
      </w:r>
    </w:p>
    <w:bookmarkEnd w:id="121"/>
    <w:bookmarkStart w:id="122" w:name="mediciones-y-validación-de-indicador-3"/>
    <w:p>
      <w:pPr>
        <w:pStyle w:val="Heading3"/>
      </w:pPr>
      <w:r>
        <w:t xml:space="preserve">5.4.4. Mediciones y validación de indicador</w:t>
      </w:r>
    </w:p>
    <w:bookmarkEnd w:id="122"/>
    <w:bookmarkEnd w:id="123"/>
    <w:bookmarkStart w:id="129" w:name="discusión-1"/>
    <w:p>
      <w:pPr>
        <w:pStyle w:val="Heading2"/>
      </w:pPr>
      <w:r>
        <w:t xml:space="preserve">5.5. Discusión</w:t>
      </w:r>
    </w:p>
    <w:bookmarkStart w:id="124" w:name="síntesis-de-resultados-principales"/>
    <w:p>
      <w:pPr>
        <w:pStyle w:val="Heading3"/>
      </w:pPr>
      <w:r>
        <w:t xml:space="preserve">5.5.1. Síntesis de resultados principales</w:t>
      </w:r>
    </w:p>
    <w:bookmarkEnd w:id="124"/>
    <w:bookmarkStart w:id="125" w:name="Xe519055c6252def61866f1a7642e981f1f1996c"/>
    <w:p>
      <w:pPr>
        <w:pStyle w:val="Heading3"/>
      </w:pPr>
      <w:r>
        <w:t xml:space="preserve">5.5.2. Interpretación del significado de los resultados</w:t>
      </w:r>
    </w:p>
    <w:bookmarkEnd w:id="125"/>
    <w:bookmarkStart w:id="126" w:name="X5ff98e9fb71d824ff3737809ebd8e2ef0532041"/>
    <w:p>
      <w:pPr>
        <w:pStyle w:val="Heading3"/>
      </w:pPr>
      <w:r>
        <w:t xml:space="preserve">5.5.3. Contextualización de la revisión de la literatura</w:t>
      </w:r>
    </w:p>
    <w:bookmarkEnd w:id="126"/>
    <w:bookmarkStart w:id="127" w:name="generalización-de-los-resultados-1"/>
    <w:p>
      <w:pPr>
        <w:pStyle w:val="Heading3"/>
      </w:pPr>
      <w:r>
        <w:t xml:space="preserve">5.5.4. Generalización de los resultados</w:t>
      </w:r>
    </w:p>
    <w:bookmarkEnd w:id="127"/>
    <w:bookmarkStart w:id="128" w:name="limitaciones-de-los-resultados-1"/>
    <w:p>
      <w:pPr>
        <w:pStyle w:val="Heading3"/>
      </w:pPr>
      <w:r>
        <w:t xml:space="preserve">5.5.5. Limitaciones de los resultados</w:t>
      </w:r>
    </w:p>
    <w:bookmarkEnd w:id="128"/>
    <w:bookmarkEnd w:id="129"/>
    <w:bookmarkEnd w:id="130"/>
    <w:bookmarkStart w:id="131" w:name="referencias-bibliográficas"/>
    <w:p>
      <w:pPr>
        <w:pStyle w:val="Heading1"/>
      </w:pPr>
      <w:r>
        <w:t xml:space="preserve">Referencias bibliográficas</w:t>
      </w:r>
    </w:p>
    <w:p>
      <w:pPr>
        <w:pStyle w:val="Bibliografia"/>
      </w:pPr>
      <w:r>
        <w:t xml:space="preserve">Petticrew, M., &amp; Roberts, H. (2006). Systematic Reviews in the Social Sciences: A Practical Guide. Blackwell Publishing.</w:t>
      </w:r>
    </w:p>
    <w:p>
      <w:pPr>
        <w:pStyle w:val="Bibliografia"/>
      </w:pPr>
      <w:r>
        <w:t xml:space="preserve">Nigenda, D., Karnin, Z., Zafar, M. B., Ramesha, R., Tan, A., Donini, M., &amp; Kenthapadi, K. (2022). Amazon SageMaker Model Monitor: A system for real-time insights into deployed machine learning models [Preprint]. arXiv. https://arxiv.org/abs/2111.13657</w:t>
      </w:r>
    </w:p>
    <w:p>
      <w:pPr>
        <w:pStyle w:val="Bibliografia"/>
      </w:pPr>
      <w:r>
        <w:t xml:space="preserve">Ghai, B., Mishra, M., &amp; Mueller, K. (2022). Cascaded Debiasing: Studying the Cumulative Effect of Multiple Fairness-Enhancing Interventions. Proceedings of the 31st ACM International Conference on Information and Knowledge Management (CIKM ’22), 1-11. https://doi.org/10.1145/3511808.3557155</w:t>
      </w:r>
    </w:p>
    <w:p>
      <w:pPr>
        <w:pStyle w:val="Bibliografia"/>
      </w:pPr>
      <w:r>
        <w:t xml:space="preserve">Ji, Z., Ma, P., Wang, S., &amp; Li, Y. (2023). Causality-Aided Trade-off Analysis for Machine Learning Fairness [Preprint]. arXiv. https://arxiv.org/abs/2305.13057</w:t>
      </w:r>
    </w:p>
    <w:p>
      <w:pPr>
        <w:pStyle w:val="Bibliografia"/>
      </w:pPr>
      <w:r>
        <w:t xml:space="preserve">Grafberger, S., Groth, P., Stoyanovich, J., &amp; Schelter, S. (2022). Data distribution debugging in machine learning pipelines. The VLDB Journal, 31(5), 1103–1126. https://doi.org/10.1007/s00778-021-00726-w</w:t>
      </w:r>
    </w:p>
    <w:p>
      <w:pPr>
        <w:pStyle w:val="Bibliografia"/>
      </w:pPr>
      <w:r>
        <w:t xml:space="preserve">Vasquez, J., Domeniconi, C., &amp; Rangwala, H. (2024). DispaRisk: Assessing Fairness Through Usable Information [Preprint]. arXiv. https://arxiv.org/abs/2405.12372</w:t>
      </w:r>
    </w:p>
    <w:p>
      <w:pPr>
        <w:pStyle w:val="Bibliografia"/>
      </w:pPr>
      <w:r>
        <w:t xml:space="preserve">Russo, M., Chudasama, Y., Purohit, D., Sawischa, S., &amp; Vidal, M.-E. (2024). Employing Hybrid AI Systems to Trace and Document Bias in ML Pipelines. IEEE Access, 12, 96821-96847. https://doi.org/10.1109/ACCESS.2024.3427388</w:t>
      </w:r>
    </w:p>
    <w:p>
      <w:pPr>
        <w:pStyle w:val="Bibliografia"/>
      </w:pPr>
      <w:r>
        <w:t xml:space="preserve">Biswas, S., &amp; Rajan, H. (2021). Fair Preprocessing: Towards Understanding Compositional Fairness of Data Transformers in Machine Learning Pipeline. Proceedings of the 29th ACM Joint European Software Engineering Conference and Symposium on the Foundations of Software Engineering (ESEC/FSE ’21), 1-13. https://doi.org/10.1145/3468264.3468536</w:t>
      </w:r>
    </w:p>
    <w:p>
      <w:pPr>
        <w:pStyle w:val="Bibliografia"/>
      </w:pPr>
      <w:r>
        <w:t xml:space="preserve">Reda, A., Taie, S. A., &amp; Shaheen, M. E. (2025). Hybrid MLOps framework for automated lifecycle management of adaptive phishing detection models. Scientific Reports, 15(1). https://doi.org/10.1038/s41598-025-23600-z</w:t>
      </w:r>
    </w:p>
    <w:p>
      <w:pPr>
        <w:pStyle w:val="Bibliografia"/>
      </w:pPr>
      <w:r>
        <w:t xml:space="preserve">Kazmierczak, J., Salama, K., &amp; Huerta, V. (2024). MLOps: Flujos de procesamiento de entrega continua y automatización en el aprendizaje automático. Google Cloud Architecture Center. Recuperado el 25 de setiembre de 2026, de https://docs.cloud.google.com/architecture/mlops-continuous-delivery-and-automation-pipelines-in-machine-learning?hl=es</w:t>
      </w:r>
    </w:p>
    <w:p>
      <w:pPr>
        <w:pStyle w:val="Bibliografia"/>
      </w:pPr>
      <w:r>
        <w:t xml:space="preserve">Lin, Y. C., Mallia, D., Clark-Sevilla, A. O., Catto, A., Leshchenko, A., Haas, D. M., Wapner, R., Pe’er, I., Raja, A., &amp; Salleb-Aouissi, A. (s.f.). Preeclampsia Predictor with Machine Learning: A Comprehensive and Bias-Free Machine Learning Pipeline. Columbia University.</w:t>
      </w:r>
    </w:p>
    <w:p>
      <w:pPr>
        <w:pStyle w:val="Bibliografia"/>
      </w:pPr>
      <w:r>
        <w:t xml:space="preserve">Schelter, S., Grafberger, S., Guha, S., Karlaš, B., &amp; Zhang, C. (2023). Proactively Screening Machine Learning Pipelines with ArgusEyes. Companion of the 2023 International Conference on Management of Data (SIGMOD-Companion ’23). https://doi.org/10.1145/3555041.3589682</w:t>
      </w:r>
    </w:p>
    <w:p>
      <w:pPr>
        <w:pStyle w:val="Bibliografia"/>
      </w:pPr>
      <w:r>
        <w:t xml:space="preserve">Zhu, J., Xu, G., Lorenzi, F., Glavic, B., &amp; Salimi, B. (2025). Stress-Testing ML Pipelines with Adversarial Data Corruption [Preprint]. arXiv. https://arxiv.org/abs/2506.01230</w:t>
      </w:r>
    </w:p>
    <w:p>
      <w:pPr>
        <w:pStyle w:val="Bibliografia"/>
      </w:pPr>
      <w:r>
        <w:t xml:space="preserve">Russo, M., &amp; Vidal, M.-E. (2025). Towards an Ontology-Driven Approach to Document Bias. Journal of Artificial Intelligence Research, 83, Artículo 38. https://doi.org/10.1613/jair.1.19388</w:t>
      </w:r>
    </w:p>
    <w:p>
      <w:pPr>
        <w:pStyle w:val="Bibliografia"/>
      </w:pPr>
      <w:r>
        <w:t xml:space="preserve">Avuthu, Y. R. (2021). Trustworthy AI in Cloud MLOps: Ensuring Explainability, Fairness, and Security in AI-Driven Applications. Journal of Scientific and Engineering Research, 8(1), 246-255.</w:t>
      </w:r>
    </w:p>
    <w:p>
      <w:pPr>
        <w:pStyle w:val="Bibliografia"/>
      </w:pPr>
      <w:r>
        <w:t xml:space="preserve">Grafberger, S., Guha, S., Groth, P., &amp; Schelter, S. (2023). mlwhatif: What If You Could Stop Re-Implementing Your Machine Learning Pipeline Analyses Over and Over?. Proceedings of the VLDB Endowment, 16(12), 4002-4005. https://doi.org/10.14778/3611540.3611606</w:t>
      </w:r>
    </w:p>
    <w:p>
      <w:pPr>
        <w:pStyle w:val="Bibliografia"/>
      </w:pPr>
      <w:r>
        <w:t xml:space="preserve">Caballar, R. D., &amp; Stryker, C. (2024, 15 de agosto). ¿Qué es la gestión de riesgos de modelos? IBM Think. https://www.ibm.com/mx-es/think/topics/model-risk-management</w:t>
      </w:r>
    </w:p>
    <w:p>
      <w:pPr>
        <w:pStyle w:val="Bibliografia"/>
      </w:pPr>
      <w:r>
        <w:t xml:space="preserve">Presidencia del Consejo de Ministros. (2025). Decreto Supremo N° 115-2025-PCM: Decreto Supremo que aprueba el Reglamento de la Ley Nº 31814, Ley que promueve el uso de la inteligencia artificial en favor del desarrollo económico y social del país. Diario Oficial El Peruano.</w:t>
      </w:r>
    </w:p>
    <w:p>
      <w:pPr>
        <w:pStyle w:val="Bibliografia"/>
      </w:pPr>
      <w:r>
        <w:t xml:space="preserve">Parlamento Europeo y Consejo de la Unión Europea. (2024). Reglamento (UE) 2024/1689 del Parlamento Europeo y del Consejo, de 13 de junio de 2024, por el que se establecen normas armonizadas en materia de inteligencia artificial y por el que se modifican los Reglamentos (CE) n.º 300/2008, (UE) n.º 167/2013, (UE) n.º 168/2013, (UE) 2018/858, (UE) 2018/1139 y (UE) 2019/2144 y las Directivas 2014/90/UE, (UE) 2016/797 y (UE) 2020/1828 (Reglamento de Inteligencia Artificial). Diario Oficial de la Unión Europea, L 2024/1689, 12 de julio de 2024.</w:t>
      </w:r>
    </w:p>
    <w:p>
      <w:pPr>
        <w:pStyle w:val="Bibliografia"/>
      </w:pPr>
      <w:r>
        <w:t xml:space="preserve">Parlamento Europeo y Consejo de la Unión Europea. (2026). Regulation (EU) 2026/1744 of the European Parliament and of the Council of 8 July 2026 amending Regulations (EU) 2024/1689, (EU) 2018/1139 and (EU) 2023/1230 as regards the simplification of the implementation of harmonised rules on artificial intelligence (Digital Omnibus on AI). Official Journal of the European Union, L 2026/1744. https://eur-lex.europa.eu/eli/reg/2026/1744/oj</w:t>
      </w:r>
    </w:p>
    <w:p>
      <w:pPr>
        <w:pStyle w:val="Bibliografia"/>
      </w:pPr>
      <w:r>
        <w:t xml:space="preserve">Basel Committee on Banking Supervision. (2025). Principles for the management of credit risk [Documento consultivo]. Bank for International Settlements. https://www.bis.org/bcbs/publ/d591.htm</w:t>
      </w:r>
    </w:p>
    <w:p>
      <w:pPr>
        <w:pStyle w:val="Bibliografia"/>
      </w:pPr>
      <w:r>
        <w:t xml:space="preserve">Immaneni, J. (2020). Building MLOps Pipelines in Fintech: Keeping Up with Continuous Machine Learning. International Journal of Artificial Intelligence, Data Science, and Machine Learning, 1(2), 22–32. https://doi.org/10.63282/30509262/IJAIDSML-V1I2P103</w:t>
      </w:r>
    </w:p>
    <w:p>
      <w:pPr>
        <w:pStyle w:val="Bibliografia"/>
      </w:pPr>
      <w:r>
        <w:t xml:space="preserve">Byanjankar, A., Heikkilä, M., &amp; Mezei, J. (2015). Predicting credit risk in peer-to-peer lending: A neural network approach. En 2015 IEEE Symposium Series on Computational Intelligence (pp. 719–725). IEEE. https://doi.org/10.1109/SSCI.2015.109</w:t>
      </w:r>
    </w:p>
    <w:p>
      <w:pPr>
        <w:pStyle w:val="Bibliografia"/>
      </w:pPr>
      <w:r>
        <w:t xml:space="preserve">MathWorks. (s. f.). Credit Risk Modeling: Importance and Key Components. MATLAB &amp; Simulink Discovery. Recuperado el 18 de agosto de 2026, de https://www.mathworks.com/discovery/credit-risk-modeling.html</w:t>
      </w:r>
    </w:p>
    <w:p>
      <w:pPr>
        <w:pStyle w:val="Bibliografia"/>
      </w:pPr>
      <w:r>
        <w:t xml:space="preserve">Demirgüç-Kunt, A., Klapper, L., Singer, D., &amp; Ansar, S. (2022). The Global Findex Database 2021: Financial Inclusion, Digital Payments, and Resilience in the Age of COVID-19. World Bank. https://doi.org/10.1596/978-1-4648-1897-4</w:t>
      </w:r>
    </w:p>
    <w:p>
      <w:pPr>
        <w:pStyle w:val="Bibliografia"/>
      </w:pPr>
      <w:r>
        <w:t xml:space="preserve">Menon, A. K., &amp; Williamson, R. C. (2018). The cost of fairness in binary classification. En Proceedings of the 1st Conference on Fairness, Accountability and Transparency (FAT* ’18), 81, 107-118. PMLR.</w:t>
      </w:r>
    </w:p>
    <w:p>
      <w:pPr>
        <w:pStyle w:val="Bibliografia"/>
      </w:pPr>
      <w:r>
        <w:t xml:space="preserve">Nguyen, G. (2024). Fairness specification and repair for machine learning pipeline (Tesis de doctorado). Iowa State University. Iowa State University Digital Repository. https://doi.org/10.31274/etd-20240411-13</w:t>
      </w:r>
    </w:p>
    <w:p>
      <w:pPr>
        <w:pStyle w:val="Bibliografia"/>
      </w:pPr>
      <w:r>
        <w:t xml:space="preserve">Equal Credit Opportunity Act, 15 U.S.C. § 1691 et seq. (1974). https://www.govinfo.gov/link/uscode/15/1691</w:t>
      </w:r>
    </w:p>
    <w:p>
      <w:pPr>
        <w:pStyle w:val="Bibliografia"/>
      </w:pPr>
      <w:r>
        <w:t xml:space="preserve">Bartlett, R., Morse, A., Stanton, R., &amp; Wallace, N. (2022). Consumer-lending discrimination in the FinTech era. Journal of Financial Economics, 143(1), 30–56. https://doi.org/10.1016/j.jfineco.2021.05.047</w:t>
      </w:r>
    </w:p>
    <w:p>
      <w:pPr>
        <w:pStyle w:val="Bibliografia"/>
      </w:pPr>
      <w:r>
        <w:t xml:space="preserve">Consumer Financial Protection Bureau. (2023). Consumer Financial Protection Circular 2023-03: Adverse action notification requirements and the proper use of the CFPB’s sample forms provided in Regulation B [Retirada el 12 de mayo de 2025]. CFPB. https://www.consumerfinance.gov/compliance/circulars/circular-2023-03-adverse-action-notification-requirements-and-the-proper-use-of-the-cfpbs-sample-forms-provided-in-regulation-b/</w:t>
      </w:r>
    </w:p>
    <w:p>
      <w:pPr>
        <w:pStyle w:val="Bibliografia"/>
      </w:pPr>
      <w:r>
        <w:t xml:space="preserve">Consumer Financial Protection Bureau. (2025). Interpretive rules, policy statements, and advisory opinions; withdrawal. Federal Register, 90(90). https://www.govinfo.gov/content/pkg/FR-2025-05-12/pdf/2025-08286.pdf</w:t>
      </w:r>
    </w:p>
    <w:p>
      <w:pPr>
        <w:pStyle w:val="Bibliografia"/>
      </w:pPr>
      <w:r>
        <w:t xml:space="preserve">Hardt, M., Price, E., &amp; Srebro, N. (2016). Equality of opportunity in supervised learning. En Advances in Neural Information Processing Systems (pp. 3323–3331). Curran Associates, Inc.</w:t>
      </w:r>
    </w:p>
    <w:p>
      <w:pPr>
        <w:pStyle w:val="Bibliografia"/>
      </w:pPr>
      <w:r>
        <w:t xml:space="preserve">Stoyanovich, J., Abiteboul, S., Howe, B., Jagadish, H. V., &amp; Schelter, S. (2022). Responsible data management. Communications of the ACM, 65(6), 64–74. https://doi.org/10.1145/3488717</w:t>
      </w:r>
    </w:p>
    <w:p>
      <w:pPr>
        <w:pStyle w:val="Bibliografia"/>
      </w:pPr>
      <w:r>
        <w:t xml:space="preserve">Uniform Guidelines on Employee Selection Procedures, 29 C.F.R. § 1607.4(D) (1978). https://www.govinfo.gov/link/cfr/29/1607</w:t>
      </w:r>
    </w:p>
    <w:p>
      <w:pPr>
        <w:pStyle w:val="Bibliografia"/>
      </w:pPr>
      <w:r>
        <w:t xml:space="preserve">Kästner, C. (2021). Data quality for building production ML systems. Medium: Machine Learning in Production. https://ckaestne.medium.com/data-quality-for-building-production-ml-systems-2e0cc7e6113f</w:t>
      </w:r>
    </w:p>
    <w:p>
      <w:pPr>
        <w:pStyle w:val="Bibliografia"/>
      </w:pPr>
      <w:r>
        <w:t xml:space="preserve">Angwin, J., Larson, J., Mattu, S., &amp; Kirchner, L. (2016, May 23). Machine bias: There’s software used across the country to predict future criminals. And it’s biased against blacks. ProPublica. https://www.propublica.org/article/machine-bias-risk-assessments-in-criminal-sentencing</w:t>
      </w:r>
    </w:p>
    <w:p>
      <w:pPr>
        <w:pStyle w:val="Bibliografia"/>
      </w:pPr>
      <w:r>
        <w:t xml:space="preserve">Adebayo, J., &amp; Kagal, L. (2016). Iterative orthogonal feature projection for diagnosing bias in black-box models. arXiv preprint arXiv:1611.04967. https://arxiv.org/abs/1611.04967</w:t>
      </w:r>
    </w:p>
    <w:p>
      <w:pPr>
        <w:pStyle w:val="Bibliografia"/>
      </w:pPr>
      <w:r>
        <w:t xml:space="preserve">Mehrabi, N., Morstatter, F., Saxena, N., Lerman, K., &amp; Galstyan, A. (2021). A survey on bias and fairness in machine learning. ACM Computing Surveys, 54(6), 1–35. https://doi.org/10.1145/3457607</w:t>
      </w:r>
    </w:p>
    <w:p>
      <w:pPr>
        <w:pStyle w:val="Bibliografia"/>
      </w:pPr>
      <w:r>
        <w:t xml:space="preserve">Black, E., &amp; Fredrikson, M. (2021). Leave-one-out unfairness. En Proceedings of the 2021 ACM Conference on Fairness, Accountability, and Transparency (pp. 285–295). Association for Computing Machinery. https://doi.org/10.1145/3442188.3445914</w:t>
      </w:r>
    </w:p>
    <w:p>
      <w:pPr>
        <w:pStyle w:val="Bibliografia"/>
      </w:pPr>
      <w:r>
        <w:t xml:space="preserve">Ogrizović, M., Drašković, D., &amp; Bojić, D. (2024). Quality assurance strategies for machine learning applications in big data analytics: an overview. Journal of Big Data, 11(1), 156. https://doi.org/10.1186/s40537-024-01028-y</w:t>
      </w:r>
    </w:p>
    <w:p>
      <w:pPr>
        <w:pStyle w:val="Bibliografia"/>
      </w:pPr>
      <w:r>
        <w:t xml:space="preserve">International Organization for Standardization &amp; International Electrotechnical Commission. (2023). Information technology — Artificial intelligence — Management system (ISO/IEC Standard No. 42001:2023). https://www.iso.org/standard/81230.html</w:t>
      </w:r>
    </w:p>
    <w:p>
      <w:pPr>
        <w:pStyle w:val="Bibliografia"/>
      </w:pPr>
      <w:r>
        <w:t xml:space="preserve">Albertoni, R., &amp; Isaac, A. (Eds.). (2016). Data on the Web Best Practices: Data Quality Vocabulary (W3C Working Group Note). World Wide Web Consortium. https://www.w3.org/TR/vocab-dqv/</w:t>
      </w:r>
    </w:p>
    <w:p>
      <w:pPr>
        <w:pStyle w:val="Bibliografia"/>
      </w:pPr>
      <w:r>
        <w:t xml:space="preserve">Davronov, I. (2021). Credit-scoring data [Conjunto de datos]. Kaggle. https://www.kaggle.com/datasets/islombekdavronov/creditscoring-data</w:t>
      </w:r>
    </w:p>
    <w:p>
      <w:pPr>
        <w:pStyle w:val="Bibliografia"/>
      </w:pPr>
      <w:r>
        <w:t xml:space="preserve">Efron, B., &amp; Tibshirani, R. J. (1993). An introduction to the bootstrap. Chapman &amp; Hall. https://doi.org/10.1201/9780429246593</w:t>
      </w:r>
    </w:p>
    <w:p>
      <w:pPr>
        <w:pStyle w:val="Bibliografia"/>
      </w:pPr>
      <w:r>
        <w:t xml:space="preserve">Federal Financial Institutions Examination Council. (s.f.). Public HMDA – LAR data fields. HMDA Documentation. Recuperado el 25 de setiembre de 2026, de https://ffiec.cfpb.gov/documentation/publications/loan-level-datasets/lar-data-fields/</w:t>
      </w:r>
    </w:p>
    <w:p>
      <w:pPr>
        <w:pStyle w:val="Bibliografia"/>
      </w:pPr>
      <w:r>
        <w:t xml:space="preserve">Giang Thi Thu, H., Doan, T. V., &amp; Le Quy, T. (2024). An experimental study on fairness-aware machine learning for credit scoring problem [Preprint]. arXiv. https://arxiv.org/abs/2412.20298</w:t>
      </w:r>
    </w:p>
    <w:p>
      <w:pPr>
        <w:pStyle w:val="Bibliografia"/>
      </w:pPr>
      <w:r>
        <w:t xml:space="preserve">Knublauch, H., &amp; Kontokostas, D. (Eds.). (2017). Shapes Constraint Language (SHACL) (W3C Recommendation). World Wide Web Consortium. https://www.w3.org/TR/shacl/</w:t>
      </w:r>
    </w:p>
    <w:p>
      <w:pPr>
        <w:pStyle w:val="Bibliografia"/>
      </w:pPr>
      <w:r>
        <w:t xml:space="preserve">Lebo, T., Sahoo, S., &amp; McGuinness, D. (Eds.). (2013). PROV-O: The PROV Ontology (W3C Recommendation). World Wide Web Consortium. https://www.w3.org/TR/prov-o/</w:t>
      </w:r>
    </w:p>
    <w:p>
      <w:pPr>
        <w:pStyle w:val="Bibliografia"/>
      </w:pPr>
      <w:r>
        <w:t xml:space="preserve">Noy, N. F., &amp; McGuinness, D. L. (2001). Ontology development 101: A guide to creating your first ontology (Technical Report KSL-01-05). Stanford Knowledge Systems Laboratory.</w:t>
      </w:r>
    </w:p>
    <w:p>
      <w:pPr>
        <w:pStyle w:val="Bibliografia"/>
      </w:pPr>
      <w:r>
        <w:t xml:space="preserve">Weerts, H., Dudík, M., Edgar, R., Jalali, A., Lutz, R., &amp; Madaio, M. (2023). Fairlearn: Assessing and improving fairness of AI systems. Journal of Machine Learning Research, 24(257). https://www.jmlr.org/papers/v24/23-0389.html</w:t>
      </w:r>
    </w:p>
    <w:p>
      <w:pPr>
        <w:pStyle w:val="Bibliografia"/>
      </w:pPr>
      <w:r>
        <w:t xml:space="preserve">Zaharia, M., Chen, A., Davidson, A., Ghodsi, A., Hong, S. A., Konwinski, A., Murching, S., Nykodym, T., Ogilvie, P., Parkhe, M., Xie, F., &amp; Zumar, C. (2018). Accelerating the machine learning lifecycle with MLflow. IEEE Data Engineering Bulletin, 41(4), 39–45.</w:t>
      </w:r>
    </w:p>
    <w:bookmarkEnd w:id="131"/>
    <w:bookmarkStart w:id="133" w:name="anexo-a-formulario-de-extracción"/>
    <w:p>
      <w:pPr>
        <w:pStyle w:val="Heading1"/>
      </w:pPr>
      <w:r>
        <w:t xml:space="preserve">Anexo A: Formulario de Extracción</w:t>
      </w:r>
    </w:p>
    <w:p>
      <w:pPr>
        <w:pStyle w:val="FirstParagraph"/>
      </w:pPr>
      <w:hyperlink r:id="rId132">
        <w:r>
          <w:rPr>
            <w:rStyle w:val="Hyperlink"/>
          </w:rPr>
          <w:t xml:space="preserve">Formulario de Extracción</w:t>
        </w:r>
      </w:hyperlink>
    </w:p>
    <w:p>
      <w:pPr>
        <w:pStyle w:val="BodyText"/>
      </w:pPr>
      <w:r>
        <w:t xml:space="preserve">:** en el PDF el Anexo A es solo un hipervínculo a una hoja de Google Sheets; el contenido del formulario no está en el PDF.</w:t>
      </w:r>
    </w:p>
    <w:bookmarkEnd w:id="133"/>
    <w:bookmarkStart w:id="138" w:name="anexo-b-plan-de-proyecto"/>
    <w:p>
      <w:pPr>
        <w:pStyle w:val="Heading1"/>
      </w:pPr>
      <w:r>
        <w:t xml:space="preserve">Anexo B: Plan de Proyecto</w:t>
      </w:r>
    </w:p>
    <w:p>
      <w:pPr>
        <w:pStyle w:val="Compact"/>
        <w:numPr>
          <w:ilvl w:val="0"/>
          <w:numId w:val="1044"/>
        </w:numPr>
      </w:pPr>
      <w:r>
        <w:rPr>
          <w:b/>
          <w:bCs/>
        </w:rPr>
        <w:t xml:space="preserve">Justificación</w:t>
      </w:r>
    </w:p>
    <w:p>
      <w:pPr>
        <w:pStyle w:val="FirstParagraph"/>
      </w:pPr>
      <w:r>
        <w:t xml:space="preserve">En la actualidad, los algoritmos de aprendizaje automático (</w:t>
      </w:r>
      <w:r>
        <w:rPr>
          <w:i/>
          <w:iCs/>
        </w:rPr>
        <w:t xml:space="preserve">Machine Learning</w:t>
      </w:r>
      <w:r>
        <w:t xml:space="preserve">) han transformado la toma de decisiones en sectores críticos como la atención médica, las finanzas y la justicia; sin embargo, han evidenciado el riesgo crítico de exacerbar y perpetuar sesgos sociales e históricos (Vasquez et al., 2024). A medida que estos sistemas se implementan a gran escala, el sesgo algorítmico puede propagarse sistemáticamente a lo largo de las distintas etapas de la canalización de desarrollo, ocasionando impactos perjudiciales y discriminatorios sobre subgrupos de individuos, especialmente minorías, si no existen controles adecuados desde las etapas tempranas (Biswas &amp; Rajan, 2021). Frente a la necesidad de llevar estos modelos a producción, la industria ha adoptado el paradigma de MLOps (</w:t>
      </w:r>
      <w:r>
        <w:rPr>
          <w:i/>
          <w:iCs/>
        </w:rPr>
        <w:t xml:space="preserve">Machine Learning Operations</w:t>
      </w:r>
      <w:r>
        <w:t xml:space="preserve">). Si bien esta práctica automatiza el despliegue de software, los enfoques tradicionales adolecen de mecanismos de gobernanza efectivos y suelen evaluar la equidad (</w:t>
      </w:r>
      <w:r>
        <w:rPr>
          <w:i/>
          <w:iCs/>
        </w:rPr>
        <w:t xml:space="preserve">fairness</w:t>
      </w:r>
      <w:r>
        <w:t xml:space="preserve">) de forma estática al final del proceso, tratando al modelo como una</w:t>
      </w:r>
      <w:r>
        <w:t xml:space="preserve"> </w:t>
      </w:r>
      <w:r>
        <w:t xml:space="preserve">“caja negra”</w:t>
      </w:r>
      <w:r>
        <w:t xml:space="preserve"> </w:t>
      </w:r>
      <w:r>
        <w:t xml:space="preserve">(Stoyanovich et al., 2022). Esta evaluación tardía es ineficiente porque ignora la naturaleza composicional del sesgo; es decir, la posibilidad de que la discriminación sea inyectada silenciosamente por operaciones intermedias, como el escalado o la imputación de datos durante la etapa de preprocesamiento (Biswas &amp; Rajan, 2021). Esta brecha técnica se ha convertido hoy en un estricto imperativo regulatorio. Marcos legales modernos, como el Reglamento (UE) 2024/1689 (Ley de IA de la Unión Europea), exigen que los sistemas de alto riesgo mitiguen los posibles sesgos y cuenten con un nivel adecuado de precisión, transparencia y supervisión humana para proteger los derechos fundamentales (Parlamento Europeo y Consejo de la Unión Europea, 2024). En el ámbito peruano, el Decreto Supremo N° 115-2025-PCM establece explícitamente que el desarrollo y uso de sistemas basados en IA deben garantizar la no discriminación y la rendición de cuentas, exigiendo a los implementadores mantener un registro actualizado y accesible sobre las fuentes de datos y la lógica del algoritmo para facilitar su auditoría (Presidencia del Consejo de Ministros, 2025). En consecuencia, la presente investigación se justifica en la necesidad imperativa de diseñar e implementar una arquitectura MLOps que valide la equidad de manera continua a través de compuertas de calidad (</w:t>
      </w:r>
      <w:r>
        <w:rPr>
          <w:i/>
          <w:iCs/>
        </w:rPr>
        <w:t xml:space="preserve">QA Gates</w:t>
      </w:r>
      <w:r>
        <w:t xml:space="preserve">) preventivas. Al integrar controles modulares basados en</w:t>
      </w:r>
      <w:r>
        <w:t xml:space="preserve"> </w:t>
      </w:r>
      <w:r>
        <w:t xml:space="preserve">“Contratos de Equidad”</w:t>
      </w:r>
      <w:r>
        <w:t xml:space="preserve">, junto con mecanismos de trazabilidad semántica que emplean Grafos de Conocimiento para documentar el linaje de los modelos y las decisiones algorítmicas (Russo &amp; Vidal, 2025), este proyecto aporta un valor práctico, técnico y metodológico invaluable. Su desarrollo permitirá a las organizaciones superar las deficiencias del monitoreo tradicional y cumplir con las normativas vigentes, asegurando que la Inteligencia Artificial desplegada en la sociedad sea ética, auditable y segura por diseño.</w:t>
      </w:r>
    </w:p>
    <w:p>
      <w:pPr>
        <w:pStyle w:val="Compact"/>
        <w:numPr>
          <w:ilvl w:val="0"/>
          <w:numId w:val="1045"/>
        </w:numPr>
      </w:pPr>
      <w:r>
        <w:rPr>
          <w:b/>
          <w:bCs/>
        </w:rPr>
        <w:t xml:space="preserve">Viabilidad</w:t>
      </w:r>
    </w:p>
    <w:p>
      <w:pPr>
        <w:pStyle w:val="FirstParagraph"/>
      </w:pPr>
      <w:r>
        <w:t xml:space="preserve">La viabilidad del proyecto se sustenta en la disponibilidad de recursos técnicos, el acceso a fuentes de información estandarizadas y la capacidad metodológica y humana para desarrollar la arquitectura MLOps dentro del tiempo establecido.</w:t>
      </w:r>
    </w:p>
    <w:p>
      <w:pPr>
        <w:pStyle w:val="BodyText"/>
      </w:pPr>
      <w:r>
        <w:rPr>
          <w:b/>
          <w:bCs/>
        </w:rPr>
        <w:t xml:space="preserve">Viabilidad técnica</w:t>
      </w:r>
    </w:p>
    <w:p>
      <w:pPr>
        <w:pStyle w:val="BodyText"/>
      </w:pPr>
      <w:r>
        <w:t xml:space="preserve">El desarrollo y la automatización de la arquitectura propuesta no dependen de supercomputadoras inaccesibles, ya que el</w:t>
      </w:r>
      <w:r>
        <w:t xml:space="preserve"> </w:t>
      </w:r>
      <w:r>
        <w:rPr>
          <w:i/>
          <w:iCs/>
        </w:rPr>
        <w:t xml:space="preserve">pipeline</w:t>
      </w:r>
      <w:r>
        <w:t xml:space="preserve"> </w:t>
      </w:r>
      <w:r>
        <w:t xml:space="preserve">se ejecuta en una estación de trabajo personal y en los ejecutores de integración continua, con herramientas de código abierto. Se utilizará GitHub Actions sobre un repositorio privado para orquestar la canalización y ejecutar las pruebas de Pytest generadas por el motor de contratos; el mismo conjunto de pruebas puede ejecutarse localmente. La trazabilidad semántica se implementará con herramientas</w:t>
      </w:r>
      <w:r>
        <w:t xml:space="preserve"> </w:t>
      </w:r>
      <w:r>
        <w:rPr>
          <w:i/>
          <w:iCs/>
        </w:rPr>
        <w:t xml:space="preserve">open-source</w:t>
      </w:r>
      <w:r>
        <w:t xml:space="preserve"> </w:t>
      </w:r>
      <w:r>
        <w:t xml:space="preserve">(RDFLib, pySHACL y Oxigraph), garantizando que no existan barreras de licencias comerciales para completar el desarrollo.</w:t>
      </w:r>
    </w:p>
    <w:p>
      <w:pPr>
        <w:pStyle w:val="BodyText"/>
      </w:pPr>
      <w:r>
        <w:rPr>
          <w:b/>
          <w:bCs/>
        </w:rPr>
        <w:t xml:space="preserve">Viabilidad respecto al acceso al conjunto de datos</w:t>
      </w:r>
    </w:p>
    <w:p>
      <w:pPr>
        <w:pStyle w:val="BodyText"/>
      </w:pPr>
      <w:r>
        <w:t xml:space="preserve">El proyecto emplea dos conjuntos de datos. El caso principal es el conjunto</w:t>
      </w:r>
      <w:r>
        <w:t xml:space="preserve"> </w:t>
      </w:r>
      <w:r>
        <w:t xml:space="preserve">“Credit-scoring data”</w:t>
      </w:r>
      <w:r>
        <w:t xml:space="preserve"> </w:t>
      </w:r>
      <w:r>
        <w:t xml:space="preserve">publicado en Kaggle, de scoring crediticio y reportado como proveniente de una fintech de Asia Central, con datos ya codificados numéricamente y sin identificadores personales (Davronov, 2021; Giang Thi Thu et al., 2024). Su licencia reserva los derechos a sus autores, por lo que se utiliza con fines exclusivamente académicos, sin redistribuirlo: los repositorios del proyecto son privados. El caso secundario son los datos públicos del registro de solicitudes hipotecarias de Estados Unidos (HMDA), de libre acceso (FFIEC, s.f.). Ninguno de los dos requiere la aprobación de comités externos para su uso en investigación.</w:t>
      </w:r>
    </w:p>
    <w:p>
      <w:pPr>
        <w:pStyle w:val="BodyText"/>
      </w:pPr>
      <w:r>
        <w:rPr>
          <w:b/>
          <w:bCs/>
        </w:rPr>
        <w:t xml:space="preserve">Viabilidad metodológica y humana</w:t>
      </w:r>
    </w:p>
    <w:p>
      <w:pPr>
        <w:pStyle w:val="BodyText"/>
      </w:pPr>
      <w:r>
        <w:t xml:space="preserve">La viabilidad metodológica y humana está garantizada. El tesista cuenta con la formación en ingeniería informática necesaria para instrumentar canalizaciones de integración continua, programar pruebas de software y articular el ciclo de vida del aprendizaje automático. Además, este trabajo cuenta con la supervisión y validación técnica del Mg. Luis Vives, docente e investigador con amplia experiencia, lo que asegura el rigor metodológico durante las fases de diseño y validación experimental de la tesis.</w:t>
      </w:r>
    </w:p>
    <w:p>
      <w:pPr>
        <w:pStyle w:val="BodyText"/>
      </w:pPr>
      <w:r>
        <w:rPr>
          <w:b/>
          <w:bCs/>
        </w:rPr>
        <w:t xml:space="preserve">Viabilidad institucional y alcance</w:t>
      </w:r>
    </w:p>
    <w:p>
      <w:pPr>
        <w:pStyle w:val="BodyText"/>
      </w:pPr>
      <w:r>
        <w:t xml:space="preserve">Los productos entregables del proyecto son alcanzables dentro del cronograma académico debido a que la validación operativa está claramente delimitada. El sistema será validado mediante pruebas de estrés (</w:t>
      </w:r>
      <w:r>
        <w:rPr>
          <w:i/>
          <w:iCs/>
        </w:rPr>
        <w:t xml:space="preserve">stress-testing</w:t>
      </w:r>
      <w:r>
        <w:t xml:space="preserve">) inyectando derivas y sesgos sintéticos en un entorno de simulación controlado (</w:t>
      </w:r>
      <w:r>
        <w:rPr>
          <w:i/>
          <w:iCs/>
        </w:rPr>
        <w:t xml:space="preserve">staging</w:t>
      </w:r>
      <w:r>
        <w:t xml:space="preserve">), lo que permitirá comprobar la capacidad de interrupción de las compuertas de calidad sin la necesidad de desplegar e integrar la arquitectura en la infraestructura de una empresa o cliente real.</w:t>
      </w:r>
    </w:p>
    <w:p>
      <w:pPr>
        <w:pStyle w:val="Compact"/>
        <w:numPr>
          <w:ilvl w:val="0"/>
          <w:numId w:val="1046"/>
        </w:numPr>
      </w:pPr>
      <w:r>
        <w:rPr>
          <w:b/>
          <w:bCs/>
        </w:rPr>
        <w:t xml:space="preserve">Alcance</w:t>
      </w:r>
    </w:p>
    <w:p>
      <w:pPr>
        <w:pStyle w:val="FirstParagraph"/>
      </w:pPr>
      <w:r>
        <w:t xml:space="preserve">La presente investigación se enfoca en el diseño, implementación y validación experimental de una arquitectura MLOps de Nivel 2 orientada a la validación continua de equidad (</w:t>
      </w:r>
      <w:r>
        <w:rPr>
          <w:i/>
          <w:iCs/>
        </w:rPr>
        <w:t xml:space="preserve">fairness</w:t>
      </w:r>
      <w:r>
        <w:t xml:space="preserve">) en algoritmos de aprendizaje supervisado. El proyecto abarcará la construcción de una canalización integral que operará sobre conjuntos de datos tabulares. El desarrollo del sistema incluye:</w:t>
      </w:r>
    </w:p>
    <w:p>
      <w:pPr>
        <w:numPr>
          <w:ilvl w:val="0"/>
          <w:numId w:val="1047"/>
        </w:numPr>
      </w:pPr>
      <w:r>
        <w:t xml:space="preserve">La configuración de un entorno de Integración y Entrega Continua (CI/CD) automatizado.</w:t>
      </w:r>
    </w:p>
    <w:p>
      <w:pPr>
        <w:numPr>
          <w:ilvl w:val="0"/>
          <w:numId w:val="1047"/>
        </w:numPr>
      </w:pPr>
      <w:r>
        <w:t xml:space="preserve">La programación de un motor de contratos y de</w:t>
      </w:r>
      <w:r>
        <w:t xml:space="preserve"> </w:t>
      </w:r>
      <w:r>
        <w:t xml:space="preserve">“Contratos de Equidad”</w:t>
      </w:r>
      <w:r>
        <w:t xml:space="preserve"> </w:t>
      </w:r>
      <w:r>
        <w:t xml:space="preserve">modulares que actuarán como compuertas de calidad (</w:t>
      </w:r>
      <w:r>
        <w:rPr>
          <w:i/>
          <w:iCs/>
        </w:rPr>
        <w:t xml:space="preserve">QA Gates</w:t>
      </w:r>
      <w:r>
        <w:t xml:space="preserve">) con capacidad de interrupción sobre los datos crudos, cada transformador de preprocesamiento, el modelo entrenado (con remediación) y los lotes de producción.</w:t>
      </w:r>
    </w:p>
    <w:p>
      <w:pPr>
        <w:numPr>
          <w:ilvl w:val="0"/>
          <w:numId w:val="1047"/>
        </w:numPr>
      </w:pPr>
      <w:r>
        <w:t xml:space="preserve">La integración de un módulo de trazabilidad semántica mediante Grafos de Conocimiento (empleando MLflow como canal de linaje, RDFLib, los vocabularios PROV-O y DQV y validación SHACL) para documentar el linaje de los datos, los modelos y las métricas de sesgo.</w:t>
      </w:r>
    </w:p>
    <w:p>
      <w:pPr>
        <w:numPr>
          <w:ilvl w:val="0"/>
          <w:numId w:val="1047"/>
        </w:numPr>
      </w:pPr>
      <w:r>
        <w:t xml:space="preserve">La validación de la efectividad de la arquitectura mediante pruebas de estrés (</w:t>
      </w:r>
      <w:r>
        <w:rPr>
          <w:i/>
          <w:iCs/>
        </w:rPr>
        <w:t xml:space="preserve">stress-testing</w:t>
      </w:r>
      <w:r>
        <w:t xml:space="preserve">), que consistirán en inyectar intencionalmente subrepresentación, sesgos por proxy, sesgos en las etiquetas y derivas de datos (</w:t>
      </w:r>
      <w:r>
        <w:rPr>
          <w:i/>
          <w:iCs/>
        </w:rPr>
        <w:t xml:space="preserve">data drift</w:t>
      </w:r>
      <w:r>
        <w:t xml:space="preserve">) sobre el conjunto de datos principal, más un escenario de control sin inyección, y en evaluar la deriva real entre años en el conjunto de datos secundario, en un entorno de simulación (</w:t>
      </w:r>
      <w:r>
        <w:rPr>
          <w:i/>
          <w:iCs/>
        </w:rPr>
        <w:t xml:space="preserve">staging</w:t>
      </w:r>
      <w:r>
        <w:t xml:space="preserve">).</w:t>
      </w:r>
    </w:p>
    <w:p>
      <w:pPr>
        <w:numPr>
          <w:ilvl w:val="0"/>
          <w:numId w:val="1047"/>
        </w:numPr>
      </w:pPr>
      <w:r>
        <w:rPr>
          <w:b/>
          <w:bCs/>
        </w:rPr>
        <w:t xml:space="preserve">Limitaciones</w:t>
      </w:r>
    </w:p>
    <w:p>
      <w:pPr>
        <w:pStyle w:val="FirstParagraph"/>
      </w:pPr>
      <w:r>
        <w:t xml:space="preserve">El desarrollo, la implementación y la validación del proyecto están sujetos a las siguientes restricciones tecnológicas y operativas:</w:t>
      </w:r>
    </w:p>
    <w:p>
      <w:pPr>
        <w:numPr>
          <w:ilvl w:val="0"/>
          <w:numId w:val="1048"/>
        </w:numPr>
      </w:pPr>
      <w:r>
        <w:rPr>
          <w:b/>
          <w:bCs/>
        </w:rPr>
        <w:t xml:space="preserve">Tipología de datos y algoritmos:</w:t>
      </w:r>
      <w:r>
        <w:t xml:space="preserve"> </w:t>
      </w:r>
      <w:r>
        <w:t xml:space="preserve">La arquitectura propuesta, así como las métricas matemáticas empleadas en los Contratos de Equidad, se diseñarán y validarán exclusivamente para modelos de aprendizaje supervisado aplicados a conjuntos de datos estructurados (tabulares). El alcance no cubre el procesamiento de datos no estructurados, como visión artificial, procesamiento de audio o lenguaje natural (texto libre).</w:t>
      </w:r>
    </w:p>
    <w:p>
      <w:pPr>
        <w:numPr>
          <w:ilvl w:val="0"/>
          <w:numId w:val="1048"/>
        </w:numPr>
      </w:pPr>
      <w:r>
        <w:rPr>
          <w:b/>
          <w:bCs/>
        </w:rPr>
        <w:t xml:space="preserve">Entorno de despliegue operativo:</w:t>
      </w:r>
      <w:r>
        <w:t xml:space="preserve"> </w:t>
      </w:r>
      <w:r>
        <w:t xml:space="preserve">Los resultados del estudio son de carácter experimental y académico. La evaluación de la arquitectura se realizará en un entorno de simulación controlado (</w:t>
      </w:r>
      <w:r>
        <w:rPr>
          <w:i/>
          <w:iCs/>
        </w:rPr>
        <w:t xml:space="preserve">staging</w:t>
      </w:r>
      <w:r>
        <w:t xml:space="preserve">). El sistema no será implementado, integrado ni operado en la infraestructura de producción real de una entidad gubernamental o privada.</w:t>
      </w:r>
    </w:p>
    <w:p>
      <w:pPr>
        <w:numPr>
          <w:ilvl w:val="0"/>
          <w:numId w:val="1048"/>
        </w:numPr>
      </w:pPr>
      <w:r>
        <w:rPr>
          <w:b/>
          <w:bCs/>
        </w:rPr>
        <w:t xml:space="preserve">Procedencia y licencia de los datos:</w:t>
      </w:r>
      <w:r>
        <w:t xml:space="preserve"> </w:t>
      </w:r>
      <w:r>
        <w:t xml:space="preserve">El conjunto de datos principal carece de diccionario de columnas (en particular, no documenta qué grupo corresponde a cada valor del atributo sexo) y su licencia no permite redistribuirlo. Por ello, las métricas sobre ese atributo se calculan de forma simétrica y el conjunto de datos no se publica junto con el código.</w:t>
      </w:r>
    </w:p>
    <w:p>
      <w:pPr>
        <w:numPr>
          <w:ilvl w:val="0"/>
          <w:numId w:val="1048"/>
        </w:numPr>
      </w:pPr>
      <w:r>
        <w:rPr>
          <w:b/>
          <w:bCs/>
        </w:rPr>
        <w:t xml:space="preserve">Restricciones de capacidad computacional:</w:t>
      </w:r>
      <w:r>
        <w:t xml:space="preserve"> </w:t>
      </w:r>
      <w:r>
        <w:t xml:space="preserve">La instrumentación de la trazabilidad semántica (Zona 4 de la arquitectura) y la generación iterativa de Grafos de Conocimiento exigen una carga significativa de procesamiento y consumo de memoria RAM. Esta exigencia de hardware podría limitar el volumen máximo de los conjuntos de datos que se podrán procesar simultáneamente durante las pruebas de estrés locales, acotando los escenarios de simulación a los recursos computacionales disponibles por el tesista.</w:t>
      </w:r>
    </w:p>
    <w:p>
      <w:pPr>
        <w:numPr>
          <w:ilvl w:val="0"/>
          <w:numId w:val="1048"/>
        </w:numPr>
      </w:pPr>
      <w:r>
        <w:rPr>
          <w:b/>
          <w:bCs/>
        </w:rPr>
        <w:t xml:space="preserve">Identificación de los riesgos del proyecto</w:t>
      </w:r>
    </w:p>
    <w:p>
      <w:pPr>
        <w:pStyle w:val="FirstParagraph"/>
      </w:pPr>
      <w:r>
        <w:t xml:space="preserve">Durante la planificación del proyecto se identificaron los principales riesgos que podrían afectar su desarrollo, considerando aspectos técnicos, de gestión y de disponibilidad de recursos. En la siguiente tabla se describen los riesgos potenciales, sus síntomas, nivel de probabilidad, impacto y severidad, así como las estrategias de mitigación y contingencia propuestas para reducir sus efectos.</w:t>
      </w:r>
    </w:p>
    <w:p>
      <w:pPr>
        <w:pStyle w:val="BodyText"/>
      </w:pPr>
      <w:r>
        <w:t xml:space="preserve">La severidad (S) se calcula como el producto entre la probabilidad (P) y el impacto (I). Los niveles se clasifican en una escala de Muy Bajo (1) a Muy Alto (5).</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1238"/>
        <w:gridCol w:w="1827"/>
        <w:gridCol w:w="928"/>
        <w:gridCol w:w="767"/>
        <w:gridCol w:w="767"/>
        <w:gridCol w:w="1860"/>
        <w:gridCol w:w="1624"/>
      </w:tblGrid>
      <w:tr>
        <w:trPr>
          <w:tblHeader w:val="on"/>
          <w:tblHeader w:val="true"/>
        </w:trPr>
        <w:tc>
          <w:tcPr>
            <w:tcW w:type="dxa" w:w="1238"/>
          </w:tcPr>
          <w:p>
            <w:pPr>
              <w:pStyle w:val="Compact"/>
              <w:spacing w:after="40"/>
              <w:jc w:val="left"/>
            </w:pPr>
            <w:r>
              <w:rPr>
                <w:b/>
                <w:sz w:val="19"/>
              </w:rPr>
              <w:t xml:space="preserve">Descripción</w:t>
            </w:r>
          </w:p>
        </w:tc>
        <w:tc>
          <w:tcPr>
            <w:tcW w:type="dxa" w:w="1827"/>
          </w:tcPr>
          <w:p>
            <w:pPr>
              <w:pStyle w:val="Compact"/>
              <w:spacing w:after="40"/>
              <w:jc w:val="left"/>
            </w:pPr>
            <w:r>
              <w:rPr>
                <w:b/>
                <w:sz w:val="19"/>
              </w:rPr>
              <w:t xml:space="preserve">Síntomas</w:t>
            </w:r>
          </w:p>
        </w:tc>
        <w:tc>
          <w:tcPr>
            <w:tcW w:type="dxa" w:w="929"/>
          </w:tcPr>
          <w:p>
            <w:pPr>
              <w:pStyle w:val="Compact"/>
              <w:spacing w:after="40"/>
              <w:jc w:val="left"/>
            </w:pPr>
            <w:r>
              <w:rPr>
                <w:b/>
                <w:sz w:val="19"/>
              </w:rPr>
              <w:t xml:space="preserve">Probabilidad (P)</w:t>
            </w:r>
          </w:p>
        </w:tc>
        <w:tc>
          <w:tcPr>
            <w:tcW w:type="dxa" w:w="768"/>
          </w:tcPr>
          <w:p>
            <w:pPr>
              <w:pStyle w:val="Compact"/>
              <w:spacing w:after="40"/>
              <w:jc w:val="left"/>
            </w:pPr>
            <w:r>
              <w:rPr>
                <w:b/>
                <w:sz w:val="19"/>
              </w:rPr>
              <w:t xml:space="preserve">Impacto (I)</w:t>
            </w:r>
          </w:p>
        </w:tc>
        <w:tc>
          <w:tcPr>
            <w:tcW w:type="dxa" w:w="768"/>
          </w:tcPr>
          <w:p>
            <w:pPr>
              <w:pStyle w:val="Compact"/>
              <w:spacing w:after="40"/>
              <w:jc w:val="left"/>
            </w:pPr>
            <w:r>
              <w:rPr>
                <w:b/>
                <w:sz w:val="19"/>
              </w:rPr>
              <w:t xml:space="preserve">Severidad (S)</w:t>
            </w:r>
          </w:p>
        </w:tc>
        <w:tc>
          <w:tcPr>
            <w:tcW w:type="dxa" w:w="1861"/>
          </w:tcPr>
          <w:p>
            <w:pPr>
              <w:pStyle w:val="Compact"/>
              <w:spacing w:after="40"/>
              <w:jc w:val="left"/>
            </w:pPr>
            <w:r>
              <w:rPr>
                <w:b/>
                <w:sz w:val="19"/>
              </w:rPr>
              <w:t xml:space="preserve">Mitigación</w:t>
            </w:r>
          </w:p>
        </w:tc>
        <w:tc>
          <w:tcPr>
            <w:tcW w:type="dxa" w:w="1624"/>
          </w:tcPr>
          <w:p>
            <w:pPr>
              <w:pStyle w:val="Compact"/>
              <w:spacing w:after="40"/>
              <w:jc w:val="left"/>
            </w:pPr>
            <w:r>
              <w:rPr>
                <w:b/>
                <w:sz w:val="19"/>
              </w:rPr>
              <w:t xml:space="preserve">Contingencia</w:t>
            </w:r>
          </w:p>
        </w:tc>
      </w:tr>
      <w:tr>
        <w:tc>
          <w:tcPr>
            <w:tcW w:type="dxa" w:w="1238"/>
          </w:tcPr>
          <w:p>
            <w:pPr>
              <w:pStyle w:val="Compact"/>
              <w:spacing w:after="40"/>
              <w:jc w:val="left"/>
            </w:pPr>
            <w:r>
              <w:rPr>
                <w:sz w:val="19"/>
              </w:rPr>
              <w:t xml:space="preserve">Incompatibilidad de versiones entre bibliotecas de MLOps y Trazabilidad</w:t>
            </w:r>
          </w:p>
        </w:tc>
        <w:tc>
          <w:tcPr>
            <w:tcW w:type="dxa" w:w="1827"/>
          </w:tcPr>
          <w:p>
            <w:pPr>
              <w:pStyle w:val="Compact"/>
              <w:spacing w:after="40"/>
              <w:jc w:val="left"/>
            </w:pPr>
            <w:r>
              <w:rPr>
                <w:sz w:val="19"/>
              </w:rPr>
              <w:t xml:space="preserve">Errores de ejecución en la canalización al integrar módulos como MLflow, Fairlearn, Evidently y RDFLib en un mismo flujo.</w:t>
            </w:r>
          </w:p>
        </w:tc>
        <w:tc>
          <w:tcPr>
            <w:tcW w:type="dxa" w:w="929"/>
          </w:tcPr>
          <w:p>
            <w:pPr>
              <w:pStyle w:val="Compact"/>
              <w:spacing w:after="40"/>
              <w:jc w:val="left"/>
            </w:pPr>
            <w:r>
              <w:rPr>
                <w:sz w:val="19"/>
              </w:rPr>
              <w:t xml:space="preserve">3</w:t>
            </w:r>
          </w:p>
        </w:tc>
        <w:tc>
          <w:tcPr>
            <w:tcW w:type="dxa" w:w="768"/>
          </w:tcPr>
          <w:p>
            <w:pPr>
              <w:pStyle w:val="Compact"/>
              <w:spacing w:after="40"/>
              <w:jc w:val="left"/>
            </w:pPr>
            <w:r>
              <w:rPr>
                <w:sz w:val="19"/>
              </w:rPr>
              <w:t xml:space="preserve">4</w:t>
            </w:r>
          </w:p>
        </w:tc>
        <w:tc>
          <w:tcPr>
            <w:tcW w:type="dxa" w:w="768"/>
          </w:tcPr>
          <w:p>
            <w:pPr>
              <w:pStyle w:val="Compact"/>
              <w:spacing w:after="40"/>
              <w:jc w:val="left"/>
            </w:pPr>
            <w:r>
              <w:rPr>
                <w:sz w:val="19"/>
              </w:rPr>
              <w:t xml:space="preserve">12</w:t>
            </w:r>
          </w:p>
        </w:tc>
        <w:tc>
          <w:tcPr>
            <w:tcW w:type="dxa" w:w="1861"/>
          </w:tcPr>
          <w:p>
            <w:pPr>
              <w:pStyle w:val="Compact"/>
              <w:spacing w:after="40"/>
              <w:jc w:val="left"/>
            </w:pPr>
            <w:r>
              <w:rPr>
                <w:sz w:val="19"/>
              </w:rPr>
              <w:t xml:space="preserve">Uso de entornos virtuales e imágenes de contenedores Docker con versiones de bibliotecas estables y fijadas (</w:t>
            </w:r>
            <w:r>
              <w:rPr>
                <w:i/>
                <w:iCs/>
                <w:sz w:val="19"/>
              </w:rPr>
              <w:t xml:space="preserve">pinned requirements</w:t>
            </w:r>
            <w:r>
              <w:rPr>
                <w:sz w:val="19"/>
              </w:rPr>
              <w:t xml:space="preserve">).</w:t>
            </w:r>
          </w:p>
        </w:tc>
        <w:tc>
          <w:tcPr>
            <w:tcW w:type="dxa" w:w="1624"/>
          </w:tcPr>
          <w:p>
            <w:pPr>
              <w:pStyle w:val="Compact"/>
              <w:spacing w:after="40"/>
              <w:jc w:val="left"/>
            </w:pPr>
            <w:r>
              <w:rPr>
                <w:sz w:val="19"/>
              </w:rPr>
              <w:t xml:space="preserve">Aislar temporalmente el componente defectuoso del pipeline CI/CD o buscar bibliotecas</w:t>
            </w:r>
            <w:r>
              <w:rPr>
                <w:sz w:val="19"/>
              </w:rPr>
              <w:t xml:space="preserve"> </w:t>
            </w:r>
            <w:r>
              <w:rPr>
                <w:i/>
                <w:iCs/>
                <w:sz w:val="19"/>
              </w:rPr>
              <w:t xml:space="preserve">open-source</w:t>
            </w:r>
            <w:r>
              <w:rPr>
                <w:sz w:val="19"/>
              </w:rPr>
              <w:t xml:space="preserve"> </w:t>
            </w:r>
            <w:r>
              <w:rPr>
                <w:sz w:val="19"/>
              </w:rPr>
              <w:t xml:space="preserve">equivalentes para la validación.</w:t>
            </w:r>
          </w:p>
        </w:tc>
      </w:tr>
      <w:tr>
        <w:tc>
          <w:tcPr>
            <w:tcW w:type="dxa" w:w="1238"/>
          </w:tcPr>
          <w:p>
            <w:pPr>
              <w:pStyle w:val="Compact"/>
              <w:spacing w:after="40"/>
              <w:jc w:val="left"/>
            </w:pPr>
            <w:r>
              <w:rPr>
                <w:sz w:val="19"/>
              </w:rPr>
              <w:t xml:space="preserve">Sobrecarga computacional al generar el Grafo de Conocimiento</w:t>
            </w:r>
          </w:p>
        </w:tc>
        <w:tc>
          <w:tcPr>
            <w:tcW w:type="dxa" w:w="1827"/>
          </w:tcPr>
          <w:p>
            <w:pPr>
              <w:pStyle w:val="Compact"/>
              <w:spacing w:after="40"/>
              <w:jc w:val="left"/>
            </w:pPr>
            <w:r>
              <w:rPr>
                <w:sz w:val="19"/>
              </w:rPr>
              <w:t xml:space="preserve">Mensajes de error por falta de memoria (RAM) o tiempos de ejecución excesivamente largos al transformar metadatos a formato RDF o al calcular intervalos</w:t>
            </w:r>
            <w:r>
              <w:rPr>
                <w:sz w:val="19"/>
              </w:rPr>
              <w:t xml:space="preserve"> </w:t>
            </w:r>
            <w:r>
              <w:rPr>
                <w:i/>
                <w:iCs/>
                <w:sz w:val="19"/>
              </w:rPr>
              <w:t xml:space="preserve">bootstrap</w:t>
            </w:r>
            <w:r>
              <w:rPr>
                <w:sz w:val="19"/>
              </w:rPr>
              <w:t xml:space="preserve">.</w:t>
            </w:r>
          </w:p>
        </w:tc>
        <w:tc>
          <w:tcPr>
            <w:tcW w:type="dxa" w:w="929"/>
          </w:tcPr>
          <w:p>
            <w:pPr>
              <w:pStyle w:val="Compact"/>
              <w:spacing w:after="40"/>
              <w:jc w:val="left"/>
            </w:pPr>
            <w:r>
              <w:rPr>
                <w:sz w:val="19"/>
              </w:rPr>
              <w:t xml:space="preserve">3</w:t>
            </w:r>
          </w:p>
        </w:tc>
        <w:tc>
          <w:tcPr>
            <w:tcW w:type="dxa" w:w="768"/>
          </w:tcPr>
          <w:p>
            <w:pPr>
              <w:pStyle w:val="Compact"/>
              <w:spacing w:after="40"/>
              <w:jc w:val="left"/>
            </w:pPr>
            <w:r>
              <w:rPr>
                <w:sz w:val="19"/>
              </w:rPr>
              <w:t xml:space="preserve">4</w:t>
            </w:r>
          </w:p>
        </w:tc>
        <w:tc>
          <w:tcPr>
            <w:tcW w:type="dxa" w:w="768"/>
          </w:tcPr>
          <w:p>
            <w:pPr>
              <w:pStyle w:val="Compact"/>
              <w:spacing w:after="40"/>
              <w:jc w:val="left"/>
            </w:pPr>
            <w:r>
              <w:rPr>
                <w:sz w:val="19"/>
              </w:rPr>
              <w:t xml:space="preserve">12</w:t>
            </w:r>
          </w:p>
        </w:tc>
        <w:tc>
          <w:tcPr>
            <w:tcW w:type="dxa" w:w="1861"/>
          </w:tcPr>
          <w:p>
            <w:pPr>
              <w:pStyle w:val="Compact"/>
              <w:spacing w:after="40"/>
              <w:jc w:val="left"/>
            </w:pPr>
            <w:r>
              <w:rPr>
                <w:sz w:val="19"/>
              </w:rPr>
              <w:t xml:space="preserve">Limitar el volumen de los datos, la cantidad de metadatos a trazar y el número de remuestreos</w:t>
            </w:r>
            <w:r>
              <w:rPr>
                <w:sz w:val="19"/>
              </w:rPr>
              <w:t xml:space="preserve"> </w:t>
            </w:r>
            <w:r>
              <w:rPr>
                <w:i/>
                <w:iCs/>
                <w:sz w:val="19"/>
              </w:rPr>
              <w:t xml:space="preserve">bootstrap</w:t>
            </w:r>
            <w:r>
              <w:rPr>
                <w:sz w:val="19"/>
              </w:rPr>
              <w:t xml:space="preserve">.</w:t>
            </w:r>
          </w:p>
        </w:tc>
        <w:tc>
          <w:tcPr>
            <w:tcW w:type="dxa" w:w="1624"/>
          </w:tcPr>
          <w:p>
            <w:pPr>
              <w:pStyle w:val="Compact"/>
              <w:spacing w:after="40"/>
              <w:jc w:val="left"/>
            </w:pPr>
            <w:r>
              <w:rPr>
                <w:sz w:val="19"/>
              </w:rPr>
              <w:t xml:space="preserve">Migrar la carga de generación semántica temporalmente a un entorno en la nube (ej. Google Colab) o simplificar la ontología de sesgos.</w:t>
            </w:r>
          </w:p>
        </w:tc>
      </w:tr>
      <w:tr>
        <w:tc>
          <w:tcPr>
            <w:tcW w:type="dxa" w:w="1238"/>
          </w:tcPr>
          <w:p>
            <w:pPr>
              <w:pStyle w:val="Compact"/>
              <w:spacing w:after="40"/>
              <w:jc w:val="left"/>
            </w:pPr>
            <w:r>
              <w:rPr>
                <w:sz w:val="19"/>
              </w:rPr>
              <w:t xml:space="preserve">Falta de convergencia de modelos sesgados en las pruebas de estrés</w:t>
            </w:r>
          </w:p>
        </w:tc>
        <w:tc>
          <w:tcPr>
            <w:tcW w:type="dxa" w:w="1827"/>
          </w:tcPr>
          <w:p>
            <w:pPr>
              <w:pStyle w:val="Compact"/>
              <w:spacing w:after="40"/>
              <w:jc w:val="left"/>
            </w:pPr>
            <w:r>
              <w:rPr>
                <w:sz w:val="19"/>
              </w:rPr>
              <w:t xml:space="preserve">Los modelos no logran entrenarse correctamente o las métricas de equidad son inconsistentes tras inyectar el sesgo sintético (</w:t>
            </w:r>
            <w:r>
              <w:rPr>
                <w:i/>
                <w:iCs/>
                <w:sz w:val="19"/>
              </w:rPr>
              <w:t xml:space="preserve">bias drift</w:t>
            </w:r>
            <w:r>
              <w:rPr>
                <w:sz w:val="19"/>
              </w:rPr>
              <w:t xml:space="preserve">).</w:t>
            </w:r>
          </w:p>
        </w:tc>
        <w:tc>
          <w:tcPr>
            <w:tcW w:type="dxa" w:w="929"/>
          </w:tcPr>
          <w:p>
            <w:pPr>
              <w:pStyle w:val="Compact"/>
              <w:spacing w:after="40"/>
              <w:jc w:val="left"/>
            </w:pPr>
            <w:r>
              <w:rPr>
                <w:sz w:val="19"/>
              </w:rPr>
              <w:t xml:space="preserve">2</w:t>
            </w:r>
          </w:p>
        </w:tc>
        <w:tc>
          <w:tcPr>
            <w:tcW w:type="dxa" w:w="768"/>
          </w:tcPr>
          <w:p>
            <w:pPr>
              <w:pStyle w:val="Compact"/>
              <w:spacing w:after="40"/>
              <w:jc w:val="left"/>
            </w:pPr>
            <w:r>
              <w:rPr>
                <w:sz w:val="19"/>
              </w:rPr>
              <w:t xml:space="preserve">4</w:t>
            </w:r>
          </w:p>
        </w:tc>
        <w:tc>
          <w:tcPr>
            <w:tcW w:type="dxa" w:w="768"/>
          </w:tcPr>
          <w:p>
            <w:pPr>
              <w:pStyle w:val="Compact"/>
              <w:spacing w:after="40"/>
              <w:jc w:val="left"/>
            </w:pPr>
            <w:r>
              <w:rPr>
                <w:sz w:val="19"/>
              </w:rPr>
              <w:t xml:space="preserve">8</w:t>
            </w:r>
          </w:p>
        </w:tc>
        <w:tc>
          <w:tcPr>
            <w:tcW w:type="dxa" w:w="1861"/>
          </w:tcPr>
          <w:p>
            <w:pPr>
              <w:pStyle w:val="Compact"/>
              <w:spacing w:after="40"/>
              <w:jc w:val="left"/>
            </w:pPr>
            <w:r>
              <w:rPr>
                <w:sz w:val="19"/>
              </w:rPr>
              <w:t xml:space="preserve">Usar conjuntos de datos empleados en la literatura de equidad en scoring crediticio (Davronov y HMDA) y fijar semillas aleatorias para la reproducibilidad.</w:t>
            </w:r>
          </w:p>
        </w:tc>
        <w:tc>
          <w:tcPr>
            <w:tcW w:type="dxa" w:w="1624"/>
          </w:tcPr>
          <w:p>
            <w:pPr>
              <w:pStyle w:val="Compact"/>
              <w:spacing w:after="40"/>
              <w:jc w:val="left"/>
            </w:pPr>
            <w:r>
              <w:rPr>
                <w:sz w:val="19"/>
              </w:rPr>
              <w:t xml:space="preserve">Ajustar los niveles de inyección sintética de sesgos o utilizar algoritmos predictivos base menos complejos (ej. Regresión Logística).</w:t>
            </w:r>
          </w:p>
        </w:tc>
      </w:tr>
      <w:tr>
        <w:tc>
          <w:tcPr>
            <w:tcW w:type="dxa" w:w="1238"/>
          </w:tcPr>
          <w:p>
            <w:pPr>
              <w:pStyle w:val="Compact"/>
              <w:spacing w:after="40"/>
              <w:jc w:val="left"/>
            </w:pPr>
            <w:r>
              <w:rPr>
                <w:sz w:val="19"/>
              </w:rPr>
              <w:t xml:space="preserve">Limitaciones en conocimientos técnicos sobre Web Semántica</w:t>
            </w:r>
          </w:p>
        </w:tc>
        <w:tc>
          <w:tcPr>
            <w:tcW w:type="dxa" w:w="1827"/>
          </w:tcPr>
          <w:p>
            <w:pPr>
              <w:pStyle w:val="Compact"/>
              <w:spacing w:after="40"/>
              <w:jc w:val="left"/>
            </w:pPr>
            <w:r>
              <w:rPr>
                <w:sz w:val="19"/>
              </w:rPr>
              <w:t xml:space="preserve">Retrasos en el desarrollo de la Zona 4 de la arquitectura, errores al diseñar la ontología o fallos al formular consultas SPARQL.</w:t>
            </w:r>
          </w:p>
        </w:tc>
        <w:tc>
          <w:tcPr>
            <w:tcW w:type="dxa" w:w="929"/>
          </w:tcPr>
          <w:p>
            <w:pPr>
              <w:pStyle w:val="Compact"/>
              <w:spacing w:after="40"/>
              <w:jc w:val="left"/>
            </w:pPr>
            <w:r>
              <w:rPr>
                <w:sz w:val="19"/>
              </w:rPr>
              <w:t xml:space="preserve">3</w:t>
            </w:r>
          </w:p>
        </w:tc>
        <w:tc>
          <w:tcPr>
            <w:tcW w:type="dxa" w:w="768"/>
          </w:tcPr>
          <w:p>
            <w:pPr>
              <w:pStyle w:val="Compact"/>
              <w:spacing w:after="40"/>
              <w:jc w:val="left"/>
            </w:pPr>
            <w:r>
              <w:rPr>
                <w:sz w:val="19"/>
              </w:rPr>
              <w:t xml:space="preserve">3</w:t>
            </w:r>
          </w:p>
        </w:tc>
        <w:tc>
          <w:tcPr>
            <w:tcW w:type="dxa" w:w="768"/>
          </w:tcPr>
          <w:p>
            <w:pPr>
              <w:pStyle w:val="Compact"/>
              <w:spacing w:after="40"/>
              <w:jc w:val="left"/>
            </w:pPr>
            <w:r>
              <w:rPr>
                <w:sz w:val="19"/>
              </w:rPr>
              <w:t xml:space="preserve">9</w:t>
            </w:r>
          </w:p>
        </w:tc>
        <w:tc>
          <w:tcPr>
            <w:tcW w:type="dxa" w:w="1861"/>
          </w:tcPr>
          <w:p>
            <w:pPr>
              <w:pStyle w:val="Compact"/>
              <w:spacing w:after="40"/>
              <w:jc w:val="left"/>
            </w:pPr>
            <w:r>
              <w:rPr>
                <w:sz w:val="19"/>
              </w:rPr>
              <w:t xml:space="preserve">Fortalecer la capacitación revisando la documentación oficial de RDFLib, PROV-O, DQV y SHACL; mantener comunicación continua con el asesor.</w:t>
            </w:r>
          </w:p>
        </w:tc>
        <w:tc>
          <w:tcPr>
            <w:tcW w:type="dxa" w:w="1624"/>
          </w:tcPr>
          <w:p>
            <w:pPr>
              <w:pStyle w:val="Compact"/>
              <w:spacing w:after="40"/>
              <w:jc w:val="left"/>
            </w:pPr>
            <w:r>
              <w:rPr>
                <w:sz w:val="19"/>
              </w:rPr>
              <w:t xml:space="preserve">Emplear consultas SPARQL genéricas predefinidas en la literatura para extraer únicamente el linaje de datos más elemental.</w:t>
            </w:r>
          </w:p>
        </w:tc>
      </w:tr>
      <w:tr>
        <w:tc>
          <w:tcPr>
            <w:tcW w:type="dxa" w:w="1238"/>
          </w:tcPr>
          <w:p>
            <w:pPr>
              <w:pStyle w:val="Compact"/>
              <w:spacing w:after="40"/>
              <w:jc w:val="left"/>
            </w:pPr>
            <w:r>
              <w:rPr>
                <w:sz w:val="19"/>
              </w:rPr>
              <w:t xml:space="preserve">Retrasos en el cronograma de trabajo del proyecto</w:t>
            </w:r>
          </w:p>
        </w:tc>
        <w:tc>
          <w:tcPr>
            <w:tcW w:type="dxa" w:w="1827"/>
          </w:tcPr>
          <w:p>
            <w:pPr>
              <w:pStyle w:val="Compact"/>
              <w:spacing w:after="40"/>
              <w:jc w:val="left"/>
            </w:pPr>
            <w:r>
              <w:rPr>
                <w:sz w:val="19"/>
              </w:rPr>
              <w:t xml:space="preserve">Atraso en entregables, acumulación de tareas de programación de las</w:t>
            </w:r>
            <w:r>
              <w:rPr>
                <w:sz w:val="19"/>
              </w:rPr>
              <w:t xml:space="preserve"> </w:t>
            </w:r>
            <w:r>
              <w:rPr>
                <w:i/>
                <w:iCs/>
                <w:sz w:val="19"/>
              </w:rPr>
              <w:t xml:space="preserve">QA Gates</w:t>
            </w:r>
            <w:r>
              <w:rPr>
                <w:sz w:val="19"/>
              </w:rPr>
              <w:t xml:space="preserve"> </w:t>
            </w:r>
            <w:r>
              <w:rPr>
                <w:sz w:val="19"/>
              </w:rPr>
              <w:t xml:space="preserve">o demoras en las revisiones con el asesor</w:t>
            </w:r>
          </w:p>
        </w:tc>
        <w:tc>
          <w:tcPr>
            <w:tcW w:type="dxa" w:w="929"/>
          </w:tcPr>
          <w:p>
            <w:pPr>
              <w:pStyle w:val="Compact"/>
              <w:spacing w:after="40"/>
              <w:jc w:val="left"/>
            </w:pPr>
            <w:r>
              <w:rPr>
                <w:sz w:val="19"/>
              </w:rPr>
              <w:t xml:space="preserve">3</w:t>
            </w:r>
          </w:p>
        </w:tc>
        <w:tc>
          <w:tcPr>
            <w:tcW w:type="dxa" w:w="768"/>
          </w:tcPr>
          <w:p>
            <w:pPr>
              <w:pStyle w:val="Compact"/>
              <w:spacing w:after="40"/>
              <w:jc w:val="left"/>
            </w:pPr>
            <w:r>
              <w:rPr>
                <w:sz w:val="19"/>
              </w:rPr>
              <w:t xml:space="preserve">3</w:t>
            </w:r>
          </w:p>
        </w:tc>
        <w:tc>
          <w:tcPr>
            <w:tcW w:type="dxa" w:w="768"/>
          </w:tcPr>
          <w:p>
            <w:pPr>
              <w:pStyle w:val="Compact"/>
              <w:spacing w:after="40"/>
              <w:jc w:val="left"/>
            </w:pPr>
            <w:r>
              <w:rPr>
                <w:sz w:val="19"/>
              </w:rPr>
              <w:t xml:space="preserve">9</w:t>
            </w:r>
          </w:p>
        </w:tc>
        <w:tc>
          <w:tcPr>
            <w:tcW w:type="dxa" w:w="1861"/>
          </w:tcPr>
          <w:p>
            <w:pPr>
              <w:pStyle w:val="Compact"/>
              <w:spacing w:after="40"/>
              <w:jc w:val="left"/>
            </w:pPr>
            <w:r>
              <w:rPr>
                <w:sz w:val="19"/>
              </w:rPr>
              <w:t xml:space="preserve">Elaborar un cronograma semanal con hitos verificables y establecer reuniones planificadas con el asesor</w:t>
            </w:r>
          </w:p>
        </w:tc>
        <w:tc>
          <w:tcPr>
            <w:tcW w:type="dxa" w:w="1624"/>
          </w:tcPr>
          <w:p>
            <w:pPr>
              <w:pStyle w:val="Compact"/>
              <w:spacing w:after="40"/>
              <w:jc w:val="left"/>
            </w:pPr>
            <w:r>
              <w:rPr>
                <w:sz w:val="19"/>
              </w:rPr>
              <w:t xml:space="preserve">Reajustar prioridades y simplificar experimentos no críticos para cumplir con la validación de la arquitectura central.</w:t>
            </w:r>
          </w:p>
        </w:tc>
      </w:tr>
      <w:tr>
        <w:tc>
          <w:tcPr>
            <w:tcW w:type="dxa" w:w="1238"/>
          </w:tcPr>
          <w:p>
            <w:pPr>
              <w:pStyle w:val="Compact"/>
              <w:spacing w:after="40"/>
              <w:jc w:val="left"/>
            </w:pPr>
            <w:r>
              <w:rPr>
                <w:sz w:val="19"/>
              </w:rPr>
              <w:t xml:space="preserve">Restricciones de licencia o de documentación del conjunto de datos</w:t>
            </w:r>
          </w:p>
        </w:tc>
        <w:tc>
          <w:tcPr>
            <w:tcW w:type="dxa" w:w="1827"/>
          </w:tcPr>
          <w:p>
            <w:pPr>
              <w:pStyle w:val="Compact"/>
              <w:spacing w:after="40"/>
              <w:jc w:val="left"/>
            </w:pPr>
            <w:r>
              <w:rPr>
                <w:sz w:val="19"/>
              </w:rPr>
              <w:t xml:space="preserve">El conjunto de datos no permite su redistribución o carece de información sobre la codificación de sus atributos protegidos.</w:t>
            </w:r>
          </w:p>
        </w:tc>
        <w:tc>
          <w:tcPr>
            <w:tcW w:type="dxa" w:w="929"/>
          </w:tcPr>
          <w:p>
            <w:pPr>
              <w:pStyle w:val="Compact"/>
              <w:spacing w:after="40"/>
              <w:jc w:val="left"/>
            </w:pPr>
            <w:r>
              <w:rPr>
                <w:sz w:val="19"/>
              </w:rPr>
              <w:t xml:space="preserve">3</w:t>
            </w:r>
          </w:p>
        </w:tc>
        <w:tc>
          <w:tcPr>
            <w:tcW w:type="dxa" w:w="768"/>
          </w:tcPr>
          <w:p>
            <w:pPr>
              <w:pStyle w:val="Compact"/>
              <w:spacing w:after="40"/>
              <w:jc w:val="left"/>
            </w:pPr>
            <w:r>
              <w:rPr>
                <w:sz w:val="19"/>
              </w:rPr>
              <w:t xml:space="preserve">3</w:t>
            </w:r>
          </w:p>
        </w:tc>
        <w:tc>
          <w:tcPr>
            <w:tcW w:type="dxa" w:w="768"/>
          </w:tcPr>
          <w:p>
            <w:pPr>
              <w:pStyle w:val="Compact"/>
              <w:spacing w:after="40"/>
              <w:jc w:val="left"/>
            </w:pPr>
            <w:r>
              <w:rPr>
                <w:sz w:val="19"/>
              </w:rPr>
              <w:t xml:space="preserve">9</w:t>
            </w:r>
          </w:p>
        </w:tc>
        <w:tc>
          <w:tcPr>
            <w:tcW w:type="dxa" w:w="1861"/>
          </w:tcPr>
          <w:p>
            <w:pPr>
              <w:pStyle w:val="Compact"/>
              <w:spacing w:after="40"/>
              <w:jc w:val="left"/>
            </w:pPr>
            <w:r>
              <w:rPr>
                <w:sz w:val="19"/>
              </w:rPr>
              <w:t xml:space="preserve">Mantener privados los repositorios de código y datos, documentar el procedimiento de obtención y usar métricas simétricas cuando no se conozca el grupo no privilegiado.</w:t>
            </w:r>
          </w:p>
        </w:tc>
        <w:tc>
          <w:tcPr>
            <w:tcW w:type="dxa" w:w="1624"/>
          </w:tcPr>
          <w:p>
            <w:pPr>
              <w:pStyle w:val="Compact"/>
              <w:spacing w:after="40"/>
              <w:jc w:val="left"/>
            </w:pPr>
            <w:r>
              <w:rPr>
                <w:sz w:val="19"/>
              </w:rPr>
              <w:t xml:space="preserve">Trasladar la evaluación principal al conjunto de datos público secundario (HMDA).</w:t>
            </w:r>
          </w:p>
        </w:tc>
      </w:tr>
    </w:tbl>
    <w:p>
      <w:pPr>
        <w:pStyle w:val="BodyText"/>
        <w:keepNext w:val="0"/>
        <w:jc w:val="center"/>
      </w:pPr>
      <w:r>
        <w:rPr>
          <w:b/>
          <w:bCs/>
        </w:rPr>
        <w:t xml:space="preserve">Tabla 15. Riesgos Identificados</w:t>
      </w:r>
    </w:p>
    <w:p>
      <w:pPr>
        <w:pStyle w:val="Compact"/>
        <w:numPr>
          <w:ilvl w:val="0"/>
          <w:numId w:val="1049"/>
        </w:numPr>
      </w:pPr>
      <w:r>
        <w:rPr>
          <w:b/>
          <w:bCs/>
        </w:rPr>
        <w:t xml:space="preserve">Estructura de descomposición del trabajo (EDT)</w:t>
      </w:r>
    </w:p>
    <w:p>
      <w:pPr>
        <w:pStyle w:val="FirstParagraph"/>
      </w:pPr>
      <w:r>
        <w:t xml:space="preserve">Para la planificación y ejecución ordenada del proyecto, se ha desarrollado una Estructura de Descomposición del Trabajo (EDT) que divide la investigación en paquetes de trabajo manejables. El primer nivel representa el proyecto en su totalidad, el segundo nivel corresponde a los cuatro objetivos específicos y el tercer nivel detalla los resultados esperados (entregables) de cada fase:</w:t>
      </w:r>
    </w:p>
    <w:p>
      <w:pPr>
        <w:pStyle w:val="BodyText"/>
        <w:jc w:val="center"/>
      </w:pPr>
      <w:r>
        <w:drawing>
          <wp:inline>
            <wp:extent cx="5727700" cy="2640736"/>
            <wp:effectExtent b="0" l="0" r="0" t="0"/>
            <wp:docPr descr="Figura 10: Estructura de descomposición del trabajo" title="" id="135" name="Picture"/>
            <a:graphic>
              <a:graphicData uri="http://schemas.openxmlformats.org/drawingml/2006/picture">
                <pic:pic>
                  <pic:nvPicPr>
                    <pic:cNvPr descr="C:/Users/a2020/Documents/Tesis/Base%20de%20conocimiento/imagenes/fig10-edt.png" id="136" name="Picture"/>
                    <pic:cNvPicPr>
                      <a:picLocks noChangeArrowheads="1" noChangeAspect="1"/>
                    </pic:cNvPicPr>
                  </pic:nvPicPr>
                  <pic:blipFill>
                    <a:blip r:embed="rId134"/>
                    <a:stretch>
                      <a:fillRect/>
                    </a:stretch>
                  </pic:blipFill>
                  <pic:spPr bwMode="auto">
                    <a:xfrm>
                      <a:off x="0" y="0"/>
                      <a:ext cx="5727700" cy="2640736"/>
                    </a:xfrm>
                    <a:prstGeom prst="rect">
                      <a:avLst/>
                    </a:prstGeom>
                    <a:noFill/>
                    <a:ln w="9525">
                      <a:noFill/>
                      <a:headEnd/>
                      <a:tailEnd/>
                    </a:ln>
                  </pic:spPr>
                </pic:pic>
              </a:graphicData>
            </a:graphic>
          </wp:inline>
        </w:drawing>
      </w:r>
    </w:p>
    <w:p>
      <w:pPr>
        <w:pStyle w:val="BodyText"/>
        <w:keepNext w:val="0"/>
        <w:jc w:val="center"/>
      </w:pPr>
      <w:r>
        <w:rPr>
          <w:b/>
          <w:bCs/>
        </w:rPr>
        <w:t xml:space="preserve">Figura 10: Estructura de descomposición del trabajo</w:t>
      </w:r>
    </w:p>
    <w:p>
      <w:pPr>
        <w:pStyle w:val="Compact"/>
        <w:numPr>
          <w:ilvl w:val="0"/>
          <w:numId w:val="1050"/>
        </w:numPr>
      </w:pPr>
      <w:r>
        <w:rPr>
          <w:b/>
          <w:bCs/>
        </w:rPr>
        <w:t xml:space="preserve">Lista de tareas</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3755"/>
        <w:gridCol w:w="2003"/>
        <w:gridCol w:w="2003"/>
        <w:gridCol w:w="1251"/>
      </w:tblGrid>
      <w:tr>
        <w:trPr>
          <w:tblHeader w:val="on"/>
          <w:tblHeader w:val="true"/>
        </w:trPr>
        <w:tc>
          <w:tcPr>
            <w:tcW w:type="dxa" w:w="3756"/>
          </w:tcPr>
          <w:p>
            <w:pPr>
              <w:pStyle w:val="Compact"/>
              <w:spacing w:after="40"/>
              <w:jc w:val="left"/>
            </w:pPr>
            <w:r>
              <w:rPr>
                <w:b/>
                <w:sz w:val="22"/>
              </w:rPr>
              <w:t xml:space="preserve">Tarea</w:t>
            </w:r>
          </w:p>
        </w:tc>
        <w:tc>
          <w:tcPr>
            <w:tcW w:type="dxa" w:w="2003"/>
          </w:tcPr>
          <w:p>
            <w:pPr>
              <w:pStyle w:val="Compact"/>
              <w:spacing w:after="40"/>
              <w:jc w:val="left"/>
            </w:pPr>
            <w:r>
              <w:rPr>
                <w:b/>
                <w:sz w:val="22"/>
              </w:rPr>
              <w:t xml:space="preserve">Duración (días)</w:t>
            </w:r>
          </w:p>
        </w:tc>
        <w:tc>
          <w:tcPr>
            <w:tcW w:type="dxa" w:w="2003"/>
          </w:tcPr>
          <w:p>
            <w:pPr>
              <w:pStyle w:val="Compact"/>
              <w:spacing w:after="40"/>
              <w:jc w:val="left"/>
            </w:pPr>
            <w:r>
              <w:rPr>
                <w:b/>
                <w:sz w:val="22"/>
              </w:rPr>
              <w:t xml:space="preserve">Esfuerzo (horas)</w:t>
            </w:r>
          </w:p>
        </w:tc>
        <w:tc>
          <w:tcPr>
            <w:tcW w:type="dxa" w:w="1252"/>
          </w:tcPr>
          <w:p>
            <w:pPr>
              <w:pStyle w:val="Compact"/>
              <w:spacing w:after="40"/>
              <w:jc w:val="left"/>
            </w:pPr>
            <w:r>
              <w:rPr>
                <w:b/>
                <w:sz w:val="22"/>
              </w:rPr>
              <w:t xml:space="preserve">Costo (S/.)</w:t>
            </w:r>
          </w:p>
        </w:tc>
      </w:tr>
      <w:tr>
        <w:tc>
          <w:tcPr>
            <w:tcW w:type="dxa" w:w="3756"/>
          </w:tcPr>
          <w:p>
            <w:pPr>
              <w:pStyle w:val="Compact"/>
              <w:spacing w:after="40"/>
              <w:jc w:val="left"/>
            </w:pPr>
            <w:r>
              <w:rPr>
                <w:sz w:val="22"/>
              </w:rPr>
              <w:t xml:space="preserve">1. Análisis del Estado del Arte y Brechas</w:t>
            </w:r>
          </w:p>
        </w:tc>
        <w:tc>
          <w:tcPr>
            <w:tcW w:type="dxa" w:w="2003"/>
          </w:tcPr>
          <w:p>
            <w:pPr>
              <w:pStyle w:val="Compact"/>
              <w:spacing w:after="40"/>
              <w:jc w:val="left"/>
            </w:pPr>
            <w:r>
              <w:rPr>
                <w:sz w:val="22"/>
              </w:rPr>
              <w:t xml:space="preserve">20</w:t>
            </w:r>
          </w:p>
        </w:tc>
        <w:tc>
          <w:tcPr>
            <w:tcW w:type="dxa" w:w="2003"/>
          </w:tcPr>
          <w:p>
            <w:pPr>
              <w:pStyle w:val="Compact"/>
              <w:spacing w:after="40"/>
              <w:jc w:val="left"/>
            </w:pPr>
            <w:r>
              <w:rPr>
                <w:sz w:val="22"/>
              </w:rPr>
              <w:t xml:space="preserve">40</w:t>
            </w:r>
          </w:p>
        </w:tc>
        <w:tc>
          <w:tcPr>
            <w:tcW w:type="dxa" w:w="1252"/>
          </w:tcPr>
          <w:p>
            <w:pPr>
              <w:pStyle w:val="Compact"/>
              <w:spacing w:after="40"/>
              <w:jc w:val="left"/>
            </w:pPr>
            <w:r>
              <w:rPr>
                <w:sz w:val="22"/>
              </w:rPr>
              <w:t xml:space="preserve">2000</w:t>
            </w:r>
          </w:p>
        </w:tc>
      </w:tr>
      <w:tr>
        <w:tc>
          <w:tcPr>
            <w:tcW w:type="dxa" w:w="3756"/>
          </w:tcPr>
          <w:p>
            <w:pPr>
              <w:pStyle w:val="Compact"/>
              <w:spacing w:after="40"/>
              <w:jc w:val="left"/>
            </w:pPr>
            <w:r>
              <w:rPr>
                <w:sz w:val="22"/>
              </w:rPr>
              <w:t xml:space="preserve">1.1. Ejecutar revisión sistemática y filtrado de estudios</w:t>
            </w:r>
          </w:p>
        </w:tc>
        <w:tc>
          <w:tcPr>
            <w:tcW w:type="dxa" w:w="2003"/>
          </w:tcPr>
          <w:p>
            <w:pPr>
              <w:pStyle w:val="Compact"/>
              <w:spacing w:after="40"/>
              <w:jc w:val="left"/>
            </w:pPr>
            <w:r>
              <w:rPr>
                <w:sz w:val="22"/>
              </w:rPr>
              <w:t xml:space="preserve">13</w:t>
            </w:r>
          </w:p>
        </w:tc>
        <w:tc>
          <w:tcPr>
            <w:tcW w:type="dxa" w:w="2003"/>
          </w:tcPr>
          <w:p>
            <w:pPr>
              <w:pStyle w:val="Compact"/>
              <w:spacing w:after="40"/>
              <w:jc w:val="left"/>
            </w:pPr>
            <w:r>
              <w:rPr>
                <w:sz w:val="22"/>
              </w:rPr>
              <w:t xml:space="preserve">26</w:t>
            </w:r>
          </w:p>
        </w:tc>
        <w:tc>
          <w:tcPr>
            <w:tcW w:type="dxa" w:w="1252"/>
          </w:tcPr>
          <w:p>
            <w:pPr>
              <w:pStyle w:val="Compact"/>
              <w:spacing w:after="40"/>
              <w:jc w:val="left"/>
            </w:pPr>
            <w:r>
              <w:rPr>
                <w:sz w:val="22"/>
              </w:rPr>
              <w:t xml:space="preserve">1300</w:t>
            </w:r>
          </w:p>
        </w:tc>
      </w:tr>
      <w:tr>
        <w:tc>
          <w:tcPr>
            <w:tcW w:type="dxa" w:w="3756"/>
          </w:tcPr>
          <w:p>
            <w:pPr>
              <w:pStyle w:val="Compact"/>
              <w:spacing w:after="40"/>
              <w:jc w:val="left"/>
            </w:pPr>
            <w:r>
              <w:rPr>
                <w:sz w:val="22"/>
              </w:rPr>
              <w:t xml:space="preserve">1.2. Elaborar matriz comparativa de automatización y trazabilidad</w:t>
            </w:r>
          </w:p>
        </w:tc>
        <w:tc>
          <w:tcPr>
            <w:tcW w:type="dxa" w:w="2003"/>
          </w:tcPr>
          <w:p>
            <w:pPr>
              <w:pStyle w:val="Compact"/>
              <w:spacing w:after="40"/>
              <w:jc w:val="left"/>
            </w:pPr>
            <w:r>
              <w:rPr>
                <w:sz w:val="22"/>
              </w:rPr>
              <w:t xml:space="preserve">5</w:t>
            </w:r>
          </w:p>
        </w:tc>
        <w:tc>
          <w:tcPr>
            <w:tcW w:type="dxa" w:w="2003"/>
          </w:tcPr>
          <w:p>
            <w:pPr>
              <w:pStyle w:val="Compact"/>
              <w:spacing w:after="40"/>
              <w:jc w:val="left"/>
            </w:pPr>
            <w:r>
              <w:rPr>
                <w:sz w:val="22"/>
              </w:rPr>
              <w:t xml:space="preserve">10</w:t>
            </w:r>
          </w:p>
        </w:tc>
        <w:tc>
          <w:tcPr>
            <w:tcW w:type="dxa" w:w="1252"/>
          </w:tcPr>
          <w:p>
            <w:pPr>
              <w:pStyle w:val="Compact"/>
              <w:spacing w:after="40"/>
              <w:jc w:val="left"/>
            </w:pPr>
            <w:r>
              <w:rPr>
                <w:sz w:val="22"/>
              </w:rPr>
              <w:t xml:space="preserve">500</w:t>
            </w:r>
          </w:p>
        </w:tc>
      </w:tr>
      <w:tr>
        <w:tc>
          <w:tcPr>
            <w:tcW w:type="dxa" w:w="3756"/>
          </w:tcPr>
          <w:p>
            <w:pPr>
              <w:pStyle w:val="Compact"/>
              <w:spacing w:after="40"/>
              <w:jc w:val="left"/>
            </w:pPr>
            <w:r>
              <w:rPr>
                <w:sz w:val="22"/>
              </w:rPr>
              <w:t xml:space="preserve">1.3. Redactar el informe de brechas tecnológicas</w:t>
            </w:r>
          </w:p>
        </w:tc>
        <w:tc>
          <w:tcPr>
            <w:tcW w:type="dxa" w:w="2003"/>
          </w:tcPr>
          <w:p>
            <w:pPr>
              <w:pStyle w:val="Compact"/>
              <w:spacing w:after="40"/>
              <w:jc w:val="left"/>
            </w:pPr>
            <w:r>
              <w:rPr>
                <w:sz w:val="22"/>
              </w:rPr>
              <w:t xml:space="preserve">2</w:t>
            </w:r>
          </w:p>
        </w:tc>
        <w:tc>
          <w:tcPr>
            <w:tcW w:type="dxa" w:w="2003"/>
          </w:tcPr>
          <w:p>
            <w:pPr>
              <w:pStyle w:val="Compact"/>
              <w:spacing w:after="40"/>
              <w:jc w:val="left"/>
            </w:pPr>
            <w:r>
              <w:rPr>
                <w:sz w:val="22"/>
              </w:rPr>
              <w:t xml:space="preserve">4</w:t>
            </w:r>
          </w:p>
        </w:tc>
        <w:tc>
          <w:tcPr>
            <w:tcW w:type="dxa" w:w="1252"/>
          </w:tcPr>
          <w:p>
            <w:pPr>
              <w:pStyle w:val="Compact"/>
              <w:spacing w:after="40"/>
              <w:jc w:val="left"/>
            </w:pPr>
            <w:r>
              <w:rPr>
                <w:sz w:val="22"/>
              </w:rPr>
              <w:t xml:space="preserve">200</w:t>
            </w:r>
          </w:p>
        </w:tc>
      </w:tr>
      <w:tr>
        <w:tc>
          <w:tcPr>
            <w:tcW w:type="dxa" w:w="3756"/>
          </w:tcPr>
          <w:p>
            <w:pPr>
              <w:pStyle w:val="Compact"/>
              <w:spacing w:after="40"/>
              <w:jc w:val="left"/>
            </w:pPr>
            <w:r>
              <w:rPr>
                <w:sz w:val="22"/>
              </w:rPr>
              <w:t xml:space="preserve">2. Diseño de la Arquitectura MLOps</w:t>
            </w:r>
          </w:p>
        </w:tc>
        <w:tc>
          <w:tcPr>
            <w:tcW w:type="dxa" w:w="2003"/>
          </w:tcPr>
          <w:p>
            <w:pPr>
              <w:pStyle w:val="Compact"/>
              <w:spacing w:after="40"/>
              <w:jc w:val="left"/>
            </w:pPr>
            <w:r>
              <w:rPr>
                <w:sz w:val="22"/>
              </w:rPr>
              <w:t xml:space="preserve">30</w:t>
            </w:r>
          </w:p>
        </w:tc>
        <w:tc>
          <w:tcPr>
            <w:tcW w:type="dxa" w:w="2003"/>
          </w:tcPr>
          <w:p>
            <w:pPr>
              <w:pStyle w:val="Compact"/>
              <w:spacing w:after="40"/>
              <w:jc w:val="left"/>
            </w:pPr>
            <w:r>
              <w:rPr>
                <w:sz w:val="22"/>
              </w:rPr>
              <w:t xml:space="preserve">60</w:t>
            </w:r>
          </w:p>
        </w:tc>
        <w:tc>
          <w:tcPr>
            <w:tcW w:type="dxa" w:w="1252"/>
          </w:tcPr>
          <w:p>
            <w:pPr>
              <w:pStyle w:val="Compact"/>
              <w:spacing w:after="40"/>
              <w:jc w:val="left"/>
            </w:pPr>
            <w:r>
              <w:rPr>
                <w:sz w:val="22"/>
              </w:rPr>
              <w:t xml:space="preserve">3000</w:t>
            </w:r>
          </w:p>
        </w:tc>
      </w:tr>
      <w:tr>
        <w:tc>
          <w:tcPr>
            <w:tcW w:type="dxa" w:w="3756"/>
          </w:tcPr>
          <w:p>
            <w:pPr>
              <w:pStyle w:val="Compact"/>
              <w:spacing w:after="40"/>
              <w:jc w:val="left"/>
            </w:pPr>
            <w:r>
              <w:rPr>
                <w:sz w:val="22"/>
              </w:rPr>
              <w:t xml:space="preserve">2.1. Elaborar el modelo C4 y definir el flujo del pipeline CI/CD</w:t>
            </w:r>
          </w:p>
        </w:tc>
        <w:tc>
          <w:tcPr>
            <w:tcW w:type="dxa" w:w="2003"/>
          </w:tcPr>
          <w:p>
            <w:pPr>
              <w:pStyle w:val="Compact"/>
              <w:spacing w:after="40"/>
              <w:jc w:val="left"/>
            </w:pPr>
            <w:r>
              <w:rPr>
                <w:sz w:val="22"/>
              </w:rPr>
              <w:t xml:space="preserve">14</w:t>
            </w:r>
          </w:p>
        </w:tc>
        <w:tc>
          <w:tcPr>
            <w:tcW w:type="dxa" w:w="2003"/>
          </w:tcPr>
          <w:p>
            <w:pPr>
              <w:pStyle w:val="Compact"/>
              <w:spacing w:after="40"/>
              <w:jc w:val="left"/>
            </w:pPr>
            <w:r>
              <w:rPr>
                <w:sz w:val="22"/>
              </w:rPr>
              <w:t xml:space="preserve">28</w:t>
            </w:r>
          </w:p>
        </w:tc>
        <w:tc>
          <w:tcPr>
            <w:tcW w:type="dxa" w:w="1252"/>
          </w:tcPr>
          <w:p>
            <w:pPr>
              <w:pStyle w:val="Compact"/>
              <w:spacing w:after="40"/>
              <w:jc w:val="left"/>
            </w:pPr>
            <w:r>
              <w:rPr>
                <w:sz w:val="22"/>
              </w:rPr>
              <w:t xml:space="preserve">1400</w:t>
            </w:r>
          </w:p>
        </w:tc>
      </w:tr>
      <w:tr>
        <w:tc>
          <w:tcPr>
            <w:tcW w:type="dxa" w:w="3756"/>
          </w:tcPr>
          <w:p>
            <w:pPr>
              <w:pStyle w:val="Compact"/>
              <w:spacing w:after="40"/>
              <w:jc w:val="left"/>
            </w:pPr>
            <w:r>
              <w:rPr>
                <w:sz w:val="22"/>
              </w:rPr>
              <w:t xml:space="preserve">2.2. Diseñar y formular matemáticamente los Contratos de Equidad</w:t>
            </w:r>
          </w:p>
        </w:tc>
        <w:tc>
          <w:tcPr>
            <w:tcW w:type="dxa" w:w="2003"/>
          </w:tcPr>
          <w:p>
            <w:pPr>
              <w:pStyle w:val="Compact"/>
              <w:spacing w:after="40"/>
              <w:jc w:val="left"/>
            </w:pPr>
            <w:r>
              <w:rPr>
                <w:sz w:val="22"/>
              </w:rPr>
              <w:t xml:space="preserve">6</w:t>
            </w:r>
          </w:p>
        </w:tc>
        <w:tc>
          <w:tcPr>
            <w:tcW w:type="dxa" w:w="2003"/>
          </w:tcPr>
          <w:p>
            <w:pPr>
              <w:pStyle w:val="Compact"/>
              <w:spacing w:after="40"/>
              <w:jc w:val="left"/>
            </w:pPr>
            <w:r>
              <w:rPr>
                <w:sz w:val="22"/>
              </w:rPr>
              <w:t xml:space="preserve">12</w:t>
            </w:r>
          </w:p>
        </w:tc>
        <w:tc>
          <w:tcPr>
            <w:tcW w:type="dxa" w:w="1252"/>
          </w:tcPr>
          <w:p>
            <w:pPr>
              <w:pStyle w:val="Compact"/>
              <w:spacing w:after="40"/>
              <w:jc w:val="left"/>
            </w:pPr>
            <w:r>
              <w:rPr>
                <w:sz w:val="22"/>
              </w:rPr>
              <w:t xml:space="preserve">600</w:t>
            </w:r>
          </w:p>
        </w:tc>
      </w:tr>
      <w:tr>
        <w:tc>
          <w:tcPr>
            <w:tcW w:type="dxa" w:w="3756"/>
          </w:tcPr>
          <w:p>
            <w:pPr>
              <w:pStyle w:val="Compact"/>
              <w:spacing w:after="40"/>
              <w:jc w:val="left"/>
            </w:pPr>
            <w:r>
              <w:rPr>
                <w:sz w:val="22"/>
              </w:rPr>
              <w:t xml:space="preserve">2.3. Modelar la ontología y esquema del Grafo de Conocimiento</w:t>
            </w:r>
          </w:p>
        </w:tc>
        <w:tc>
          <w:tcPr>
            <w:tcW w:type="dxa" w:w="2003"/>
          </w:tcPr>
          <w:p>
            <w:pPr>
              <w:pStyle w:val="Compact"/>
              <w:spacing w:after="40"/>
              <w:jc w:val="left"/>
            </w:pPr>
            <w:r>
              <w:rPr>
                <w:sz w:val="22"/>
              </w:rPr>
              <w:t xml:space="preserve">10</w:t>
            </w:r>
          </w:p>
        </w:tc>
        <w:tc>
          <w:tcPr>
            <w:tcW w:type="dxa" w:w="2003"/>
          </w:tcPr>
          <w:p>
            <w:pPr>
              <w:pStyle w:val="Compact"/>
              <w:spacing w:after="40"/>
              <w:jc w:val="left"/>
            </w:pPr>
            <w:r>
              <w:rPr>
                <w:sz w:val="22"/>
              </w:rPr>
              <w:t xml:space="preserve">20</w:t>
            </w:r>
          </w:p>
        </w:tc>
        <w:tc>
          <w:tcPr>
            <w:tcW w:type="dxa" w:w="1252"/>
          </w:tcPr>
          <w:p>
            <w:pPr>
              <w:pStyle w:val="Compact"/>
              <w:spacing w:after="40"/>
              <w:jc w:val="left"/>
            </w:pPr>
            <w:r>
              <w:rPr>
                <w:sz w:val="22"/>
              </w:rPr>
              <w:t xml:space="preserve">1000</w:t>
            </w:r>
          </w:p>
        </w:tc>
      </w:tr>
      <w:tr>
        <w:tc>
          <w:tcPr>
            <w:tcW w:type="dxa" w:w="3756"/>
          </w:tcPr>
          <w:p>
            <w:pPr>
              <w:pStyle w:val="Compact"/>
              <w:spacing w:after="40"/>
              <w:jc w:val="left"/>
            </w:pPr>
            <w:r>
              <w:rPr>
                <w:sz w:val="22"/>
              </w:rPr>
              <w:t xml:space="preserve">3. Desarrollo e Implementación</w:t>
            </w:r>
          </w:p>
        </w:tc>
        <w:tc>
          <w:tcPr>
            <w:tcW w:type="dxa" w:w="2003"/>
          </w:tcPr>
          <w:p>
            <w:pPr>
              <w:pStyle w:val="Compact"/>
              <w:spacing w:after="40"/>
              <w:jc w:val="left"/>
            </w:pPr>
            <w:r>
              <w:rPr>
                <w:sz w:val="22"/>
              </w:rPr>
              <w:t xml:space="preserve">50</w:t>
            </w:r>
          </w:p>
        </w:tc>
        <w:tc>
          <w:tcPr>
            <w:tcW w:type="dxa" w:w="2003"/>
          </w:tcPr>
          <w:p>
            <w:pPr>
              <w:pStyle w:val="Compact"/>
              <w:spacing w:after="40"/>
              <w:jc w:val="left"/>
            </w:pPr>
            <w:r>
              <w:rPr>
                <w:sz w:val="22"/>
              </w:rPr>
              <w:t xml:space="preserve">100</w:t>
            </w:r>
          </w:p>
        </w:tc>
        <w:tc>
          <w:tcPr>
            <w:tcW w:type="dxa" w:w="1252"/>
          </w:tcPr>
          <w:p>
            <w:pPr>
              <w:pStyle w:val="Compact"/>
              <w:spacing w:after="40"/>
              <w:jc w:val="left"/>
            </w:pPr>
            <w:r>
              <w:rPr>
                <w:sz w:val="22"/>
              </w:rPr>
              <w:t xml:space="preserve">5000</w:t>
            </w:r>
          </w:p>
        </w:tc>
      </w:tr>
      <w:tr>
        <w:tc>
          <w:tcPr>
            <w:tcW w:type="dxa" w:w="3756"/>
          </w:tcPr>
          <w:p>
            <w:pPr>
              <w:pStyle w:val="Compact"/>
              <w:spacing w:after="40"/>
              <w:jc w:val="left"/>
            </w:pPr>
            <w:r>
              <w:rPr>
                <w:sz w:val="22"/>
              </w:rPr>
              <w:t xml:space="preserve">3.1. Configurar CI/CD (GitHub Actions) y versionado de datos (DVC)</w:t>
            </w:r>
          </w:p>
        </w:tc>
        <w:tc>
          <w:tcPr>
            <w:tcW w:type="dxa" w:w="2003"/>
          </w:tcPr>
          <w:p>
            <w:pPr>
              <w:pStyle w:val="Compact"/>
              <w:spacing w:after="40"/>
              <w:jc w:val="left"/>
            </w:pPr>
            <w:r>
              <w:rPr>
                <w:sz w:val="22"/>
              </w:rPr>
              <w:t xml:space="preserve">10</w:t>
            </w:r>
          </w:p>
        </w:tc>
        <w:tc>
          <w:tcPr>
            <w:tcW w:type="dxa" w:w="2003"/>
          </w:tcPr>
          <w:p>
            <w:pPr>
              <w:pStyle w:val="Compact"/>
              <w:spacing w:after="40"/>
              <w:jc w:val="left"/>
            </w:pPr>
            <w:r>
              <w:rPr>
                <w:sz w:val="22"/>
              </w:rPr>
              <w:t xml:space="preserve">20</w:t>
            </w:r>
          </w:p>
        </w:tc>
        <w:tc>
          <w:tcPr>
            <w:tcW w:type="dxa" w:w="1252"/>
          </w:tcPr>
          <w:p>
            <w:pPr>
              <w:pStyle w:val="Compact"/>
              <w:spacing w:after="40"/>
              <w:jc w:val="left"/>
            </w:pPr>
            <w:r>
              <w:rPr>
                <w:sz w:val="22"/>
              </w:rPr>
              <w:t xml:space="preserve">1000</w:t>
            </w:r>
          </w:p>
        </w:tc>
      </w:tr>
      <w:tr>
        <w:tc>
          <w:tcPr>
            <w:tcW w:type="dxa" w:w="3756"/>
          </w:tcPr>
          <w:p>
            <w:pPr>
              <w:pStyle w:val="Compact"/>
              <w:spacing w:after="40"/>
              <w:jc w:val="left"/>
            </w:pPr>
            <w:r>
              <w:rPr>
                <w:sz w:val="22"/>
              </w:rPr>
              <w:t xml:space="preserve">3.2. Programar el motor de contratos y las QA Gates (Pytest, Fairlearn)</w:t>
            </w:r>
          </w:p>
        </w:tc>
        <w:tc>
          <w:tcPr>
            <w:tcW w:type="dxa" w:w="2003"/>
          </w:tcPr>
          <w:p>
            <w:pPr>
              <w:pStyle w:val="Compact"/>
              <w:spacing w:after="40"/>
              <w:jc w:val="left"/>
            </w:pPr>
            <w:r>
              <w:rPr>
                <w:sz w:val="22"/>
              </w:rPr>
              <w:t xml:space="preserve">25</w:t>
            </w:r>
          </w:p>
        </w:tc>
        <w:tc>
          <w:tcPr>
            <w:tcW w:type="dxa" w:w="2003"/>
          </w:tcPr>
          <w:p>
            <w:pPr>
              <w:pStyle w:val="Compact"/>
              <w:spacing w:after="40"/>
              <w:jc w:val="left"/>
            </w:pPr>
            <w:r>
              <w:rPr>
                <w:sz w:val="22"/>
              </w:rPr>
              <w:t xml:space="preserve">50</w:t>
            </w:r>
          </w:p>
        </w:tc>
        <w:tc>
          <w:tcPr>
            <w:tcW w:type="dxa" w:w="1252"/>
          </w:tcPr>
          <w:p>
            <w:pPr>
              <w:pStyle w:val="Compact"/>
              <w:spacing w:after="40"/>
              <w:jc w:val="left"/>
            </w:pPr>
            <w:r>
              <w:rPr>
                <w:sz w:val="22"/>
              </w:rPr>
              <w:t xml:space="preserve">2500</w:t>
            </w:r>
          </w:p>
        </w:tc>
      </w:tr>
      <w:tr>
        <w:tc>
          <w:tcPr>
            <w:tcW w:type="dxa" w:w="3756"/>
          </w:tcPr>
          <w:p>
            <w:pPr>
              <w:pStyle w:val="Compact"/>
              <w:spacing w:after="40"/>
              <w:jc w:val="left"/>
            </w:pPr>
            <w:r>
              <w:rPr>
                <w:sz w:val="22"/>
              </w:rPr>
              <w:t xml:space="preserve">3.3. Integrar MLflow, el exportador RDF y la validación SHACL</w:t>
            </w:r>
          </w:p>
        </w:tc>
        <w:tc>
          <w:tcPr>
            <w:tcW w:type="dxa" w:w="2003"/>
          </w:tcPr>
          <w:p>
            <w:pPr>
              <w:pStyle w:val="Compact"/>
              <w:spacing w:after="40"/>
              <w:jc w:val="left"/>
            </w:pPr>
            <w:r>
              <w:rPr>
                <w:sz w:val="22"/>
              </w:rPr>
              <w:t xml:space="preserve">15</w:t>
            </w:r>
          </w:p>
        </w:tc>
        <w:tc>
          <w:tcPr>
            <w:tcW w:type="dxa" w:w="2003"/>
          </w:tcPr>
          <w:p>
            <w:pPr>
              <w:pStyle w:val="Compact"/>
              <w:spacing w:after="40"/>
              <w:jc w:val="left"/>
            </w:pPr>
            <w:r>
              <w:rPr>
                <w:sz w:val="22"/>
              </w:rPr>
              <w:t xml:space="preserve">30</w:t>
            </w:r>
          </w:p>
        </w:tc>
        <w:tc>
          <w:tcPr>
            <w:tcW w:type="dxa" w:w="1252"/>
          </w:tcPr>
          <w:p>
            <w:pPr>
              <w:pStyle w:val="Compact"/>
              <w:spacing w:after="40"/>
              <w:jc w:val="left"/>
            </w:pPr>
            <w:r>
              <w:rPr>
                <w:sz w:val="22"/>
              </w:rPr>
              <w:t xml:space="preserve">1500</w:t>
            </w:r>
          </w:p>
        </w:tc>
      </w:tr>
      <w:tr>
        <w:tc>
          <w:tcPr>
            <w:tcW w:type="dxa" w:w="3756"/>
          </w:tcPr>
          <w:p>
            <w:pPr>
              <w:pStyle w:val="Compact"/>
              <w:spacing w:after="40"/>
              <w:jc w:val="left"/>
            </w:pPr>
            <w:r>
              <w:rPr>
                <w:sz w:val="22"/>
              </w:rPr>
              <w:t xml:space="preserve">4. Validación y Evaluación del Sistema</w:t>
            </w:r>
          </w:p>
        </w:tc>
        <w:tc>
          <w:tcPr>
            <w:tcW w:type="dxa" w:w="2003"/>
          </w:tcPr>
          <w:p>
            <w:pPr>
              <w:pStyle w:val="Compact"/>
              <w:spacing w:after="40"/>
              <w:jc w:val="left"/>
            </w:pPr>
            <w:r>
              <w:rPr>
                <w:sz w:val="22"/>
              </w:rPr>
              <w:t xml:space="preserve">25</w:t>
            </w:r>
          </w:p>
        </w:tc>
        <w:tc>
          <w:tcPr>
            <w:tcW w:type="dxa" w:w="2003"/>
          </w:tcPr>
          <w:p>
            <w:pPr>
              <w:pStyle w:val="Compact"/>
              <w:spacing w:after="40"/>
              <w:jc w:val="left"/>
            </w:pPr>
            <w:r>
              <w:rPr>
                <w:sz w:val="22"/>
              </w:rPr>
              <w:t xml:space="preserve">50</w:t>
            </w:r>
          </w:p>
        </w:tc>
        <w:tc>
          <w:tcPr>
            <w:tcW w:type="dxa" w:w="1252"/>
          </w:tcPr>
          <w:p>
            <w:pPr>
              <w:pStyle w:val="Compact"/>
              <w:spacing w:after="40"/>
              <w:jc w:val="left"/>
            </w:pPr>
            <w:r>
              <w:rPr>
                <w:sz w:val="22"/>
              </w:rPr>
              <w:t xml:space="preserve">2500</w:t>
            </w:r>
          </w:p>
        </w:tc>
      </w:tr>
      <w:tr>
        <w:tc>
          <w:tcPr>
            <w:tcW w:type="dxa" w:w="3756"/>
          </w:tcPr>
          <w:p>
            <w:pPr>
              <w:pStyle w:val="Compact"/>
              <w:spacing w:after="40"/>
              <w:jc w:val="left"/>
            </w:pPr>
            <w:r>
              <w:rPr>
                <w:sz w:val="22"/>
              </w:rPr>
              <w:t xml:space="preserve">4.1. Configurar entorno staging e inyectar sesgos sintéticos</w:t>
            </w:r>
          </w:p>
        </w:tc>
        <w:tc>
          <w:tcPr>
            <w:tcW w:type="dxa" w:w="2003"/>
          </w:tcPr>
          <w:p>
            <w:pPr>
              <w:pStyle w:val="Compact"/>
              <w:spacing w:after="40"/>
              <w:jc w:val="left"/>
            </w:pPr>
            <w:r>
              <w:rPr>
                <w:sz w:val="22"/>
              </w:rPr>
              <w:t xml:space="preserve">10</w:t>
            </w:r>
          </w:p>
        </w:tc>
        <w:tc>
          <w:tcPr>
            <w:tcW w:type="dxa" w:w="2003"/>
          </w:tcPr>
          <w:p>
            <w:pPr>
              <w:pStyle w:val="Compact"/>
              <w:spacing w:after="40"/>
              <w:jc w:val="left"/>
            </w:pPr>
            <w:r>
              <w:rPr>
                <w:sz w:val="22"/>
              </w:rPr>
              <w:t xml:space="preserve">20</w:t>
            </w:r>
          </w:p>
        </w:tc>
        <w:tc>
          <w:tcPr>
            <w:tcW w:type="dxa" w:w="1252"/>
          </w:tcPr>
          <w:p>
            <w:pPr>
              <w:pStyle w:val="Compact"/>
              <w:spacing w:after="40"/>
              <w:jc w:val="left"/>
            </w:pPr>
            <w:r>
              <w:rPr>
                <w:sz w:val="22"/>
              </w:rPr>
              <w:t xml:space="preserve">1000</w:t>
            </w:r>
          </w:p>
        </w:tc>
      </w:tr>
      <w:tr>
        <w:tc>
          <w:tcPr>
            <w:tcW w:type="dxa" w:w="3756"/>
          </w:tcPr>
          <w:p>
            <w:pPr>
              <w:pStyle w:val="Compact"/>
              <w:spacing w:after="40"/>
              <w:jc w:val="left"/>
            </w:pPr>
            <w:r>
              <w:rPr>
                <w:sz w:val="22"/>
              </w:rPr>
              <w:t xml:space="preserve">4.2. Ejecutar validación comparativa y extraer métricas de equidad</w:t>
            </w:r>
          </w:p>
        </w:tc>
        <w:tc>
          <w:tcPr>
            <w:tcW w:type="dxa" w:w="2003"/>
          </w:tcPr>
          <w:p>
            <w:pPr>
              <w:pStyle w:val="Compact"/>
              <w:spacing w:after="40"/>
              <w:jc w:val="left"/>
            </w:pPr>
            <w:r>
              <w:rPr>
                <w:sz w:val="22"/>
              </w:rPr>
              <w:t xml:space="preserve">10</w:t>
            </w:r>
          </w:p>
        </w:tc>
        <w:tc>
          <w:tcPr>
            <w:tcW w:type="dxa" w:w="2003"/>
          </w:tcPr>
          <w:p>
            <w:pPr>
              <w:pStyle w:val="Compact"/>
              <w:spacing w:after="40"/>
              <w:jc w:val="left"/>
            </w:pPr>
            <w:r>
              <w:rPr>
                <w:sz w:val="22"/>
              </w:rPr>
              <w:t xml:space="preserve">20</w:t>
            </w:r>
          </w:p>
        </w:tc>
        <w:tc>
          <w:tcPr>
            <w:tcW w:type="dxa" w:w="1252"/>
          </w:tcPr>
          <w:p>
            <w:pPr>
              <w:pStyle w:val="Compact"/>
              <w:spacing w:after="40"/>
              <w:jc w:val="left"/>
            </w:pPr>
            <w:r>
              <w:rPr>
                <w:sz w:val="22"/>
              </w:rPr>
              <w:t xml:space="preserve">1000</w:t>
            </w:r>
          </w:p>
        </w:tc>
      </w:tr>
      <w:tr>
        <w:tc>
          <w:tcPr>
            <w:tcW w:type="dxa" w:w="3756"/>
          </w:tcPr>
          <w:p>
            <w:pPr>
              <w:pStyle w:val="Compact"/>
              <w:spacing w:after="40"/>
              <w:jc w:val="left"/>
            </w:pPr>
            <w:r>
              <w:rPr>
                <w:sz w:val="22"/>
              </w:rPr>
              <w:t xml:space="preserve">4.3. Extraer reportes (SPARQL) y redactar informe final de viabilidad</w:t>
            </w:r>
          </w:p>
        </w:tc>
        <w:tc>
          <w:tcPr>
            <w:tcW w:type="dxa" w:w="2003"/>
          </w:tcPr>
          <w:p>
            <w:pPr>
              <w:pStyle w:val="Compact"/>
              <w:spacing w:after="40"/>
              <w:jc w:val="left"/>
            </w:pPr>
            <w:r>
              <w:rPr>
                <w:sz w:val="22"/>
              </w:rPr>
              <w:t xml:space="preserve">5</w:t>
            </w:r>
          </w:p>
        </w:tc>
        <w:tc>
          <w:tcPr>
            <w:tcW w:type="dxa" w:w="2003"/>
          </w:tcPr>
          <w:p>
            <w:pPr>
              <w:pStyle w:val="Compact"/>
              <w:spacing w:after="40"/>
              <w:jc w:val="left"/>
            </w:pPr>
            <w:r>
              <w:rPr>
                <w:sz w:val="22"/>
              </w:rPr>
              <w:t xml:space="preserve">10</w:t>
            </w:r>
          </w:p>
        </w:tc>
        <w:tc>
          <w:tcPr>
            <w:tcW w:type="dxa" w:w="1252"/>
          </w:tcPr>
          <w:p>
            <w:pPr>
              <w:pStyle w:val="Compact"/>
              <w:spacing w:after="40"/>
              <w:jc w:val="left"/>
            </w:pPr>
            <w:r>
              <w:rPr>
                <w:sz w:val="22"/>
              </w:rPr>
              <w:t xml:space="preserve">500</w:t>
            </w:r>
          </w:p>
        </w:tc>
      </w:tr>
      <w:tr>
        <w:tc>
          <w:tcPr>
            <w:tcW w:type="dxa" w:w="3756"/>
          </w:tcPr>
          <w:p>
            <w:pPr>
              <w:pStyle w:val="Compact"/>
              <w:spacing w:after="40"/>
              <w:jc w:val="left"/>
            </w:pPr>
            <w:r>
              <w:rPr>
                <w:b/>
                <w:bCs/>
                <w:sz w:val="22"/>
              </w:rPr>
              <w:t xml:space="preserve">TOTAL ESTIMADO</w:t>
            </w:r>
          </w:p>
        </w:tc>
        <w:tc>
          <w:tcPr>
            <w:tcW w:type="dxa" w:w="2003"/>
          </w:tcPr>
          <w:p>
            <w:pPr>
              <w:pStyle w:val="Compact"/>
              <w:spacing w:after="40"/>
              <w:jc w:val="left"/>
            </w:pPr>
            <w:r>
              <w:rPr>
                <w:b/>
                <w:bCs/>
                <w:sz w:val="22"/>
              </w:rPr>
              <w:t xml:space="preserve">125 días</w:t>
            </w:r>
          </w:p>
        </w:tc>
        <w:tc>
          <w:tcPr>
            <w:tcW w:type="dxa" w:w="2003"/>
          </w:tcPr>
          <w:p>
            <w:pPr>
              <w:pStyle w:val="Compact"/>
              <w:spacing w:after="40"/>
              <w:jc w:val="left"/>
            </w:pPr>
            <w:r>
              <w:rPr>
                <w:b/>
                <w:bCs/>
                <w:sz w:val="22"/>
              </w:rPr>
              <w:t xml:space="preserve">250 horas</w:t>
            </w:r>
          </w:p>
        </w:tc>
        <w:tc>
          <w:tcPr>
            <w:tcW w:type="dxa" w:w="1252"/>
          </w:tcPr>
          <w:p>
            <w:pPr>
              <w:pStyle w:val="Compact"/>
              <w:spacing w:after="40"/>
              <w:jc w:val="left"/>
            </w:pPr>
            <w:r>
              <w:rPr>
                <w:b/>
                <w:bCs/>
                <w:sz w:val="22"/>
              </w:rPr>
              <w:t xml:space="preserve">S/. 12500</w:t>
            </w:r>
          </w:p>
        </w:tc>
      </w:tr>
    </w:tbl>
    <w:p>
      <w:pPr>
        <w:pStyle w:val="BodyText"/>
        <w:keepNext w:val="0"/>
        <w:jc w:val="center"/>
      </w:pPr>
      <w:r>
        <w:rPr>
          <w:b/>
          <w:bCs/>
        </w:rPr>
        <w:t xml:space="preserve">Tabla 16: Lista de Tareas</w:t>
      </w:r>
    </w:p>
    <w:p>
      <w:pPr>
        <w:pStyle w:val="Compact"/>
        <w:numPr>
          <w:ilvl w:val="0"/>
          <w:numId w:val="1051"/>
        </w:numPr>
      </w:pPr>
      <w:r>
        <w:rPr>
          <w:b/>
          <w:bCs/>
        </w:rPr>
        <w:t xml:space="preserve">Cronograma del proyecto</w:t>
      </w:r>
    </w:p>
    <w:p>
      <w:pPr>
        <w:pStyle w:val="FirstParagraph"/>
      </w:pPr>
      <w:r>
        <w:t xml:space="preserve">Con base en la lista de tareas, se elaboró un cronograma de trabajo secuencial para los 109 días de ejecución previstos (aproximadamente 16 semanas de dedicación asumiendo 2 horas diarias). Este cronograma detalla el flujo de actividades y sus dependencias, asegurando que la validación y evaluación solo se ejecuten cuando la arquitectura haya sido íntegramente desarrollada:</w:t>
      </w:r>
    </w:p>
    <w:p>
      <w:pPr>
        <w:pStyle w:val="BodyText"/>
      </w:pPr>
      <w:hyperlink r:id="rId137">
        <w:r>
          <w:rPr>
            <w:rStyle w:val="Hyperlink"/>
          </w:rPr>
          <w:t xml:space="preserve">Cronograma_Detallado_20202117_SergioChumbimuni</w:t>
        </w:r>
      </w:hyperlink>
    </w:p>
    <w:p>
      <w:pPr>
        <w:pStyle w:val="Compact"/>
        <w:numPr>
          <w:ilvl w:val="0"/>
          <w:numId w:val="1052"/>
        </w:numPr>
      </w:pPr>
      <w:r>
        <w:rPr>
          <w:b/>
          <w:bCs/>
        </w:rPr>
        <w:t xml:space="preserve">Lista de recursos</w:t>
      </w:r>
    </w:p>
    <w:p>
      <w:pPr>
        <w:pStyle w:val="FirstParagraph"/>
      </w:pPr>
      <w:r>
        <w:t xml:space="preserve">Para la correcta ejecución del proyecto se ha identificado el recurso humano, los equipos de cómputo y el</w:t>
      </w:r>
      <w:r>
        <w:t xml:space="preserve"> </w:t>
      </w:r>
      <w:r>
        <w:rPr>
          <w:i/>
          <w:iCs/>
        </w:rPr>
        <w:t xml:space="preserve">stack</w:t>
      </w:r>
      <w:r>
        <w:t xml:space="preserve"> </w:t>
      </w:r>
      <w:r>
        <w:t xml:space="preserve">tecnológico especializado (orientado al</w:t>
      </w:r>
      <w:r>
        <w:t xml:space="preserve"> </w:t>
      </w:r>
      <w:r>
        <w:rPr>
          <w:i/>
          <w:iCs/>
        </w:rPr>
        <w:t xml:space="preserve">Machine Learning</w:t>
      </w:r>
      <w:r>
        <w:t xml:space="preserve"> </w:t>
      </w:r>
      <w:r>
        <w:t xml:space="preserve">y a la Web Semántica) que se empleará durante todo el ciclo de desarrollo.</w:t>
      </w:r>
    </w:p>
    <w:p>
      <w:pPr>
        <w:pStyle w:val="Compact"/>
        <w:numPr>
          <w:ilvl w:val="0"/>
          <w:numId w:val="1053"/>
        </w:numPr>
      </w:pPr>
      <w:r>
        <w:rPr>
          <w:b/>
          <w:bCs/>
        </w:rPr>
        <w:t xml:space="preserve">Personas involucradas:</w:t>
      </w:r>
    </w:p>
    <w:p>
      <w:pPr>
        <w:pStyle w:val="Compact"/>
        <w:numPr>
          <w:ilvl w:val="0"/>
          <w:numId w:val="1054"/>
        </w:numPr>
      </w:pPr>
      <w:r>
        <w:rPr>
          <w:b/>
          <w:bCs/>
        </w:rPr>
        <w:t xml:space="preserve">Tesista:</w:t>
      </w:r>
      <w:r>
        <w:t xml:space="preserve"> </w:t>
      </w:r>
      <w:r>
        <w:t xml:space="preserve">Responsable del diseño, programación, implementación de la arquitectura MLOps, instrumentación de la trazabilidad y redacción del informe.</w:t>
      </w:r>
    </w:p>
    <w:p>
      <w:pPr>
        <w:pStyle w:val="Compact"/>
        <w:numPr>
          <w:ilvl w:val="0"/>
          <w:numId w:val="1054"/>
        </w:numPr>
      </w:pPr>
      <w:r>
        <w:rPr>
          <w:b/>
          <w:bCs/>
        </w:rPr>
        <w:t xml:space="preserve">Asesor:</w:t>
      </w:r>
      <w:r>
        <w:t xml:space="preserve"> </w:t>
      </w:r>
      <w:r>
        <w:t xml:space="preserve">El Mg. Luis Vives Garnique, quien brinda supervisión metodológica y validación técnica en el despliegue de las integraciones de ingeniería de software.</w:t>
      </w:r>
    </w:p>
    <w:p>
      <w:pPr>
        <w:pStyle w:val="Compact"/>
        <w:numPr>
          <w:ilvl w:val="0"/>
          <w:numId w:val="1055"/>
        </w:numPr>
      </w:pPr>
      <w:r>
        <w:rPr>
          <w:b/>
          <w:bCs/>
        </w:rPr>
        <w:t xml:space="preserve">Materiales requeridos:</w:t>
      </w:r>
    </w:p>
    <w:p>
      <w:pPr>
        <w:pStyle w:val="Compact"/>
        <w:numPr>
          <w:ilvl w:val="0"/>
          <w:numId w:val="1056"/>
        </w:numPr>
      </w:pPr>
      <w:r>
        <w:rPr>
          <w:b/>
          <w:bCs/>
        </w:rPr>
        <w:t xml:space="preserve">Internet:</w:t>
      </w:r>
      <w:r>
        <w:t xml:space="preserve"> </w:t>
      </w:r>
      <w:r>
        <w:t xml:space="preserve">Necesario para ejecutar la integración continua en GitHub Actions, sincronizar el almacenamiento remoto privado de DVC y descargar los conjuntos de datos.</w:t>
      </w:r>
    </w:p>
    <w:p>
      <w:pPr>
        <w:pStyle w:val="Compact"/>
        <w:numPr>
          <w:ilvl w:val="0"/>
          <w:numId w:val="1056"/>
        </w:numPr>
      </w:pPr>
      <w:r>
        <w:rPr>
          <w:b/>
          <w:bCs/>
        </w:rPr>
        <w:t xml:space="preserve">Energía eléctrica:</w:t>
      </w:r>
      <w:r>
        <w:t xml:space="preserve"> </w:t>
      </w:r>
      <w:r>
        <w:t xml:space="preserve">Para la operación continua del entorno de desarrollo.</w:t>
      </w:r>
    </w:p>
    <w:p>
      <w:pPr>
        <w:pStyle w:val="Compact"/>
        <w:numPr>
          <w:ilvl w:val="0"/>
          <w:numId w:val="1057"/>
        </w:numPr>
      </w:pPr>
      <w:r>
        <w:rPr>
          <w:b/>
          <w:bCs/>
        </w:rPr>
        <w:t xml:space="preserve">Equipamiento:</w:t>
      </w:r>
    </w:p>
    <w:p>
      <w:pPr>
        <w:pStyle w:val="Compact"/>
        <w:numPr>
          <w:ilvl w:val="0"/>
          <w:numId w:val="1058"/>
        </w:numPr>
      </w:pPr>
      <w:r>
        <w:rPr>
          <w:b/>
          <w:bCs/>
        </w:rPr>
        <w:t xml:space="preserve">Laptop personal:</w:t>
      </w:r>
      <w:r>
        <w:t xml:space="preserve"> </w:t>
      </w:r>
      <w:r>
        <w:t xml:space="preserve">Equipo de alto rendimiento capaz de ejecutar modelos de aprendizaje automático y virtualizar servicios, necesario para el prototipado inicial, procesamiento de datos y validación de las compuertas de calidad.</w:t>
      </w:r>
    </w:p>
    <w:p>
      <w:pPr>
        <w:pStyle w:val="Compact"/>
        <w:numPr>
          <w:ilvl w:val="0"/>
          <w:numId w:val="1059"/>
        </w:numPr>
      </w:pPr>
      <w:r>
        <w:rPr>
          <w:b/>
          <w:bCs/>
        </w:rPr>
        <w:t xml:space="preserve">Herramientas requeridas (Software):</w:t>
      </w:r>
    </w:p>
    <w:p>
      <w:pPr>
        <w:numPr>
          <w:ilvl w:val="0"/>
          <w:numId w:val="1060"/>
        </w:numPr>
      </w:pPr>
      <w:r>
        <w:rPr>
          <w:b/>
          <w:bCs/>
        </w:rPr>
        <w:t xml:space="preserve">Lenguaje de programación:</w:t>
      </w:r>
      <w:r>
        <w:t xml:space="preserve"> </w:t>
      </w:r>
      <w:r>
        <w:t xml:space="preserve">Python.</w:t>
      </w:r>
    </w:p>
    <w:p>
      <w:pPr>
        <w:numPr>
          <w:ilvl w:val="0"/>
          <w:numId w:val="1060"/>
        </w:numPr>
      </w:pPr>
      <w:r>
        <w:rPr>
          <w:b/>
          <w:bCs/>
        </w:rPr>
        <w:t xml:space="preserve">Desarrollo y automatización:</w:t>
      </w:r>
      <w:r>
        <w:t xml:space="preserve"> </w:t>
      </w:r>
      <w:r>
        <w:t xml:space="preserve">Pandas y scikit-learn (preprocesamiento y entrenamiento), GitHub Actions (orquestador de CI/CD), DVC (versionado de datos), MLflow (monitoreo y registro de modelos), y Pytest (evaluación de los Contratos de Equidad en tiempo de compilación).</w:t>
      </w:r>
    </w:p>
    <w:p>
      <w:pPr>
        <w:numPr>
          <w:ilvl w:val="0"/>
          <w:numId w:val="1060"/>
        </w:numPr>
      </w:pPr>
      <w:r>
        <w:rPr>
          <w:b/>
          <w:bCs/>
        </w:rPr>
        <w:t xml:space="preserve">Equidad Algorítmica:</w:t>
      </w:r>
      <w:r>
        <w:t xml:space="preserve"> </w:t>
      </w:r>
      <w:r>
        <w:t xml:space="preserve">Fairlearn para calcular disparidades estadísticas y aplicar la remediación; Evidently para el monitoreo de deriva; y SHAP para generar las razones de rechazo.</w:t>
      </w:r>
    </w:p>
    <w:p>
      <w:pPr>
        <w:numPr>
          <w:ilvl w:val="0"/>
          <w:numId w:val="1060"/>
        </w:numPr>
      </w:pPr>
      <w:r>
        <w:rPr>
          <w:b/>
          <w:bCs/>
        </w:rPr>
        <w:t xml:space="preserve">Trazabilidad Semántica:</w:t>
      </w:r>
      <w:r>
        <w:t xml:space="preserve"> </w:t>
      </w:r>
      <w:r>
        <w:t xml:space="preserve">RDFLib (procesamiento de grafos en Python), vocabularios PROV-O y DQV, pySHACL (validación SHACL), Oxigraph (repositorio RDF local; GraphDB opcional) y SPARQL (lenguaje de consultas).</w:t>
      </w:r>
    </w:p>
    <w:p>
      <w:pPr>
        <w:numPr>
          <w:ilvl w:val="0"/>
          <w:numId w:val="1060"/>
        </w:numPr>
      </w:pPr>
      <w:r>
        <w:rPr>
          <w:b/>
          <w:bCs/>
        </w:rPr>
        <w:t xml:space="preserve">Costeo del Proyecto</w:t>
      </w:r>
    </w:p>
    <w:p>
      <w:pPr>
        <w:pStyle w:val="FirstParagraph"/>
      </w:pPr>
      <w:r>
        <w:t xml:space="preserve">Se realizó una estimación económica del proyecto integrando el tiempo de dedicación del tesista (250 horas calculadas a una base de S/. 50.00 por hora), así como los costos proporcionales de servicios y equipamiento. Al emplearse una arquitectura fundamentada exclusivamente en herramientas de código abierto (</w:t>
      </w:r>
      <w:r>
        <w:rPr>
          <w:i/>
          <w:iCs/>
        </w:rPr>
        <w:t xml:space="preserve">open-source</w:t>
      </w:r>
      <w:r>
        <w:t xml:space="preserve">), los costos por licencias de software son nulos.</w:t>
      </w:r>
    </w:p>
    <w:tbl>
      <w:tblPr>
        <w:tblStyle w:val="Table"/>
        <w:tblW w:type="dxa" w:w="9014"/>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Row="1" w:lastRow="0" w:firstColumn="0" w:lastColumn="0" w:noHBand="0" w:noVBand="0" w:val="0020"/>
      </w:tblPr>
      <w:tblGrid>
        <w:gridCol w:w="794"/>
        <w:gridCol w:w="2979"/>
        <w:gridCol w:w="1191"/>
        <w:gridCol w:w="1589"/>
        <w:gridCol w:w="1250"/>
        <w:gridCol w:w="1208"/>
      </w:tblGrid>
      <w:tr>
        <w:trPr>
          <w:tblHeader w:val="on"/>
          <w:tblHeader w:val="true"/>
        </w:trPr>
        <w:tc>
          <w:tcPr>
            <w:tcW w:type="dxa" w:w="795"/>
          </w:tcPr>
          <w:p>
            <w:pPr>
              <w:pStyle w:val="Compact"/>
              <w:spacing w:after="40"/>
              <w:jc w:val="left"/>
            </w:pPr>
            <w:r>
              <w:rPr>
                <w:b/>
                <w:sz w:val="19"/>
              </w:rPr>
              <w:t xml:space="preserve">Ítem</w:t>
            </w:r>
          </w:p>
        </w:tc>
        <w:tc>
          <w:tcPr>
            <w:tcW w:type="dxa" w:w="2980"/>
          </w:tcPr>
          <w:p>
            <w:pPr>
              <w:pStyle w:val="Compact"/>
              <w:spacing w:after="40"/>
              <w:jc w:val="left"/>
            </w:pPr>
            <w:r>
              <w:rPr>
                <w:b/>
                <w:sz w:val="19"/>
              </w:rPr>
              <w:t xml:space="preserve">Descripción</w:t>
            </w:r>
          </w:p>
        </w:tc>
        <w:tc>
          <w:tcPr>
            <w:tcW w:type="dxa" w:w="1192"/>
          </w:tcPr>
          <w:p>
            <w:pPr>
              <w:pStyle w:val="Compact"/>
              <w:spacing w:after="40"/>
              <w:jc w:val="left"/>
            </w:pPr>
            <w:r>
              <w:rPr>
                <w:b/>
                <w:sz w:val="19"/>
              </w:rPr>
              <w:t xml:space="preserve">Unidad</w:t>
            </w:r>
          </w:p>
        </w:tc>
        <w:tc>
          <w:tcPr>
            <w:tcW w:type="dxa" w:w="1589"/>
          </w:tcPr>
          <w:p>
            <w:pPr>
              <w:pStyle w:val="Compact"/>
              <w:spacing w:after="40"/>
              <w:jc w:val="left"/>
            </w:pPr>
            <w:r>
              <w:rPr>
                <w:b/>
                <w:sz w:val="19"/>
              </w:rPr>
              <w:t xml:space="preserve">Cantidad</w:t>
            </w:r>
          </w:p>
        </w:tc>
        <w:tc>
          <w:tcPr>
            <w:tcW w:type="dxa" w:w="1250"/>
          </w:tcPr>
          <w:p>
            <w:pPr>
              <w:pStyle w:val="Compact"/>
              <w:spacing w:after="40"/>
              <w:jc w:val="left"/>
            </w:pPr>
            <w:r>
              <w:rPr>
                <w:b/>
                <w:sz w:val="19"/>
              </w:rPr>
              <w:t xml:space="preserve">Valor Unidad (S/.)</w:t>
            </w:r>
          </w:p>
        </w:tc>
        <w:tc>
          <w:tcPr>
            <w:tcW w:type="dxa" w:w="1208"/>
          </w:tcPr>
          <w:p>
            <w:pPr>
              <w:pStyle w:val="Compact"/>
              <w:spacing w:after="40"/>
              <w:jc w:val="left"/>
            </w:pPr>
            <w:r>
              <w:rPr>
                <w:b/>
                <w:sz w:val="19"/>
              </w:rPr>
              <w:t xml:space="preserve">Monto Total (S/.)</w:t>
            </w:r>
          </w:p>
        </w:tc>
      </w:tr>
      <w:tr>
        <w:tc>
          <w:tcPr>
            <w:tcW w:type="dxa" w:w="795"/>
          </w:tcPr>
          <w:p>
            <w:pPr>
              <w:pStyle w:val="Compact"/>
              <w:spacing w:after="40"/>
              <w:jc w:val="left"/>
            </w:pPr>
            <w:r>
              <w:rPr>
                <w:b/>
                <w:bCs/>
                <w:sz w:val="19"/>
              </w:rPr>
              <w:t xml:space="preserve">0</w:t>
            </w:r>
          </w:p>
        </w:tc>
        <w:tc>
          <w:tcPr>
            <w:tcW w:type="dxa" w:w="2980"/>
          </w:tcPr>
          <w:p>
            <w:pPr>
              <w:pStyle w:val="Compact"/>
              <w:spacing w:after="40"/>
              <w:jc w:val="left"/>
            </w:pPr>
            <w:r>
              <w:rPr>
                <w:b/>
                <w:bCs/>
                <w:sz w:val="19"/>
              </w:rPr>
              <w:t xml:space="preserve">Costo total del proyecto</w:t>
            </w:r>
          </w:p>
        </w:tc>
        <w:tc>
          <w:tcPr>
            <w:tcW w:type="dxa" w:w="1192"/>
          </w:tcPr>
          <w:p>
            <w:pPr>
              <w:pStyle w:val="Compact"/>
              <w:spacing w:after="40"/>
              <w:jc w:val="left"/>
            </w:pPr>
            <w:r>
              <w:rPr>
                <w:sz w:val="19"/>
              </w:rPr>
              <w:t xml:space="preserve">—</w:t>
            </w:r>
          </w:p>
        </w:tc>
        <w:tc>
          <w:tcPr>
            <w:tcW w:type="dxa" w:w="1589"/>
          </w:tcPr>
          <w:p>
            <w:pPr>
              <w:pStyle w:val="Compact"/>
              <w:spacing w:after="40"/>
              <w:jc w:val="left"/>
            </w:pPr>
            <w:r>
              <w:rPr>
                <w:sz w:val="19"/>
              </w:rPr>
              <w:t xml:space="preserve">—</w:t>
            </w:r>
          </w:p>
        </w:tc>
        <w:tc>
          <w:tcPr>
            <w:tcW w:type="dxa" w:w="1250"/>
          </w:tcPr>
          <w:p>
            <w:pPr>
              <w:pStyle w:val="Compact"/>
              <w:spacing w:after="40"/>
              <w:jc w:val="left"/>
            </w:pPr>
            <w:r>
              <w:rPr>
                <w:sz w:val="19"/>
              </w:rPr>
              <w:t xml:space="preserve">—</w:t>
            </w:r>
          </w:p>
        </w:tc>
        <w:tc>
          <w:tcPr>
            <w:tcW w:type="dxa" w:w="1208"/>
          </w:tcPr>
          <w:p>
            <w:pPr>
              <w:pStyle w:val="Compact"/>
              <w:spacing w:after="40"/>
              <w:jc w:val="left"/>
            </w:pPr>
            <w:r>
              <w:rPr>
                <w:b/>
                <w:bCs/>
                <w:sz w:val="19"/>
              </w:rPr>
              <w:t xml:space="preserve">14,725</w:t>
            </w:r>
          </w:p>
        </w:tc>
      </w:tr>
      <w:tr>
        <w:tc>
          <w:tcPr>
            <w:tcW w:type="dxa" w:w="795"/>
          </w:tcPr>
          <w:p>
            <w:pPr>
              <w:pStyle w:val="Compact"/>
              <w:spacing w:after="40"/>
              <w:jc w:val="left"/>
            </w:pPr>
            <w:r>
              <w:rPr>
                <w:b/>
                <w:bCs/>
                <w:sz w:val="19"/>
              </w:rPr>
              <w:t xml:space="preserve">1.</w:t>
            </w:r>
          </w:p>
        </w:tc>
        <w:tc>
          <w:tcPr>
            <w:tcW w:type="dxa" w:w="2980"/>
          </w:tcPr>
          <w:p>
            <w:pPr>
              <w:pStyle w:val="Compact"/>
              <w:spacing w:after="40"/>
              <w:jc w:val="left"/>
            </w:pPr>
            <w:r>
              <w:rPr>
                <w:b/>
                <w:bCs/>
                <w:sz w:val="19"/>
              </w:rPr>
              <w:t xml:space="preserve">Estudiantes o tesistas</w:t>
            </w:r>
          </w:p>
        </w:tc>
        <w:tc>
          <w:tcPr>
            <w:tcW w:type="dxa" w:w="1192"/>
          </w:tcPr>
          <w:p>
            <w:pPr>
              <w:pStyle w:val="Compact"/>
              <w:spacing w:after="40"/>
              <w:jc w:val="left"/>
            </w:pPr>
            <w:r>
              <w:rPr>
                <w:sz w:val="19"/>
              </w:rPr>
              <w:t xml:space="preserve">—</w:t>
            </w:r>
          </w:p>
        </w:tc>
        <w:tc>
          <w:tcPr>
            <w:tcW w:type="dxa" w:w="1589"/>
          </w:tcPr>
          <w:p>
            <w:pPr>
              <w:pStyle w:val="Compact"/>
              <w:spacing w:after="40"/>
              <w:jc w:val="left"/>
            </w:pPr>
            <w:r>
              <w:rPr>
                <w:sz w:val="19"/>
              </w:rPr>
              <w:t xml:space="preserve">—</w:t>
            </w:r>
          </w:p>
        </w:tc>
        <w:tc>
          <w:tcPr>
            <w:tcW w:type="dxa" w:w="1250"/>
          </w:tcPr>
          <w:p>
            <w:pPr>
              <w:pStyle w:val="Compact"/>
              <w:spacing w:after="40"/>
              <w:jc w:val="left"/>
            </w:pPr>
            <w:r>
              <w:rPr>
                <w:sz w:val="19"/>
              </w:rPr>
              <w:t xml:space="preserve">—</w:t>
            </w:r>
          </w:p>
        </w:tc>
        <w:tc>
          <w:tcPr>
            <w:tcW w:type="dxa" w:w="1208"/>
          </w:tcPr>
          <w:p>
            <w:pPr>
              <w:pStyle w:val="Compact"/>
              <w:spacing w:after="40"/>
              <w:jc w:val="left"/>
            </w:pPr>
            <w:r>
              <w:rPr>
                <w:b/>
                <w:bCs/>
                <w:sz w:val="19"/>
              </w:rPr>
              <w:t xml:space="preserve">12,500</w:t>
            </w:r>
          </w:p>
        </w:tc>
      </w:tr>
      <w:tr>
        <w:tc>
          <w:tcPr>
            <w:tcW w:type="dxa" w:w="795"/>
          </w:tcPr>
          <w:p>
            <w:pPr>
              <w:pStyle w:val="Compact"/>
              <w:spacing w:after="40"/>
              <w:jc w:val="left"/>
            </w:pPr>
            <w:r>
              <w:rPr>
                <w:sz w:val="19"/>
              </w:rPr>
              <w:t xml:space="preserve">1.1</w:t>
            </w:r>
          </w:p>
        </w:tc>
        <w:tc>
          <w:tcPr>
            <w:tcW w:type="dxa" w:w="2980"/>
          </w:tcPr>
          <w:p>
            <w:pPr>
              <w:pStyle w:val="Compact"/>
              <w:spacing w:after="40"/>
              <w:jc w:val="left"/>
            </w:pPr>
            <w:r>
              <w:rPr>
                <w:sz w:val="19"/>
              </w:rPr>
              <w:t xml:space="preserve">Sergio Alonso Chumbimuni Bustamante</w:t>
            </w:r>
          </w:p>
        </w:tc>
        <w:tc>
          <w:tcPr>
            <w:tcW w:type="dxa" w:w="1192"/>
          </w:tcPr>
          <w:p>
            <w:pPr>
              <w:pStyle w:val="Compact"/>
              <w:spacing w:after="40"/>
              <w:jc w:val="left"/>
            </w:pPr>
            <w:r>
              <w:rPr>
                <w:sz w:val="19"/>
              </w:rPr>
              <w:t xml:space="preserve">Horas</w:t>
            </w:r>
          </w:p>
        </w:tc>
        <w:tc>
          <w:tcPr>
            <w:tcW w:type="dxa" w:w="1589"/>
          </w:tcPr>
          <w:p>
            <w:pPr>
              <w:pStyle w:val="Compact"/>
              <w:spacing w:after="40"/>
              <w:jc w:val="left"/>
            </w:pPr>
            <w:r>
              <w:rPr>
                <w:sz w:val="19"/>
              </w:rPr>
              <w:t xml:space="preserve">250</w:t>
            </w:r>
          </w:p>
        </w:tc>
        <w:tc>
          <w:tcPr>
            <w:tcW w:type="dxa" w:w="1250"/>
          </w:tcPr>
          <w:p>
            <w:pPr>
              <w:pStyle w:val="Compact"/>
              <w:spacing w:after="40"/>
              <w:jc w:val="left"/>
            </w:pPr>
            <w:r>
              <w:rPr>
                <w:sz w:val="19"/>
              </w:rPr>
              <w:t xml:space="preserve">50</w:t>
            </w:r>
          </w:p>
        </w:tc>
        <w:tc>
          <w:tcPr>
            <w:tcW w:type="dxa" w:w="1208"/>
          </w:tcPr>
          <w:p>
            <w:pPr>
              <w:pStyle w:val="Compact"/>
              <w:spacing w:after="40"/>
              <w:jc w:val="left"/>
            </w:pPr>
            <w:r>
              <w:rPr>
                <w:sz w:val="19"/>
              </w:rPr>
              <w:t xml:space="preserve">12,500</w:t>
            </w:r>
          </w:p>
        </w:tc>
      </w:tr>
      <w:tr>
        <w:tc>
          <w:tcPr>
            <w:tcW w:type="dxa" w:w="795"/>
          </w:tcPr>
          <w:p>
            <w:pPr>
              <w:pStyle w:val="Compact"/>
              <w:spacing w:after="40"/>
              <w:jc w:val="left"/>
            </w:pPr>
            <w:r>
              <w:rPr>
                <w:b/>
                <w:bCs/>
                <w:sz w:val="19"/>
              </w:rPr>
              <w:t xml:space="preserve">2.</w:t>
            </w:r>
          </w:p>
        </w:tc>
        <w:tc>
          <w:tcPr>
            <w:tcW w:type="dxa" w:w="2980"/>
          </w:tcPr>
          <w:p>
            <w:pPr>
              <w:pStyle w:val="Compact"/>
              <w:spacing w:after="40"/>
              <w:jc w:val="left"/>
            </w:pPr>
            <w:r>
              <w:rPr>
                <w:b/>
                <w:bCs/>
                <w:sz w:val="19"/>
              </w:rPr>
              <w:t xml:space="preserve">Otros participantes</w:t>
            </w:r>
          </w:p>
        </w:tc>
        <w:tc>
          <w:tcPr>
            <w:tcW w:type="dxa" w:w="1192"/>
          </w:tcPr>
          <w:p>
            <w:pPr>
              <w:pStyle w:val="Compact"/>
              <w:spacing w:after="40"/>
              <w:jc w:val="left"/>
            </w:pPr>
            <w:r>
              <w:rPr>
                <w:sz w:val="19"/>
              </w:rPr>
              <w:t xml:space="preserve">—</w:t>
            </w:r>
          </w:p>
        </w:tc>
        <w:tc>
          <w:tcPr>
            <w:tcW w:type="dxa" w:w="1589"/>
          </w:tcPr>
          <w:p>
            <w:pPr>
              <w:pStyle w:val="Compact"/>
              <w:spacing w:after="40"/>
              <w:jc w:val="left"/>
            </w:pPr>
            <w:r>
              <w:rPr>
                <w:sz w:val="19"/>
              </w:rPr>
              <w:t xml:space="preserve">—</w:t>
            </w:r>
          </w:p>
        </w:tc>
        <w:tc>
          <w:tcPr>
            <w:tcW w:type="dxa" w:w="1250"/>
          </w:tcPr>
          <w:p>
            <w:pPr>
              <w:pStyle w:val="Compact"/>
              <w:spacing w:after="40"/>
              <w:jc w:val="left"/>
            </w:pPr>
            <w:r>
              <w:rPr>
                <w:sz w:val="19"/>
              </w:rPr>
              <w:t xml:space="preserve">—</w:t>
            </w:r>
          </w:p>
        </w:tc>
        <w:tc>
          <w:tcPr>
            <w:tcW w:type="dxa" w:w="1208"/>
          </w:tcPr>
          <w:p>
            <w:pPr>
              <w:pStyle w:val="Compact"/>
              <w:spacing w:after="40"/>
              <w:jc w:val="left"/>
            </w:pPr>
            <w:r>
              <w:rPr>
                <w:b/>
                <w:bCs/>
                <w:sz w:val="19"/>
              </w:rPr>
              <w:t xml:space="preserve">0</w:t>
            </w:r>
          </w:p>
        </w:tc>
      </w:tr>
      <w:tr>
        <w:tc>
          <w:tcPr>
            <w:tcW w:type="dxa" w:w="795"/>
          </w:tcPr>
          <w:p>
            <w:pPr>
              <w:pStyle w:val="Compact"/>
              <w:spacing w:after="40"/>
              <w:jc w:val="left"/>
            </w:pPr>
            <w:r>
              <w:rPr>
                <w:sz w:val="19"/>
              </w:rPr>
              <w:t xml:space="preserve">2.1</w:t>
            </w:r>
          </w:p>
        </w:tc>
        <w:tc>
          <w:tcPr>
            <w:tcW w:type="dxa" w:w="2980"/>
          </w:tcPr>
          <w:p>
            <w:pPr>
              <w:pStyle w:val="Compact"/>
              <w:spacing w:after="40"/>
              <w:jc w:val="left"/>
            </w:pPr>
            <w:r>
              <w:rPr>
                <w:sz w:val="19"/>
              </w:rPr>
              <w:t xml:space="preserve">Asesor (Mg. Luis Vives Garnique)</w:t>
            </w:r>
          </w:p>
        </w:tc>
        <w:tc>
          <w:tcPr>
            <w:tcW w:type="dxa" w:w="1192"/>
          </w:tcPr>
          <w:p>
            <w:pPr>
              <w:pStyle w:val="Compact"/>
              <w:spacing w:after="40"/>
              <w:jc w:val="left"/>
            </w:pPr>
            <w:r>
              <w:rPr>
                <w:sz w:val="19"/>
              </w:rPr>
              <w:t xml:space="preserve">—</w:t>
            </w:r>
          </w:p>
        </w:tc>
        <w:tc>
          <w:tcPr>
            <w:tcW w:type="dxa" w:w="1589"/>
          </w:tcPr>
          <w:p>
            <w:pPr>
              <w:pStyle w:val="Compact"/>
              <w:spacing w:after="40"/>
              <w:jc w:val="left"/>
            </w:pPr>
            <w:r>
              <w:rPr>
                <w:sz w:val="19"/>
              </w:rPr>
              <w:t xml:space="preserve">—</w:t>
            </w:r>
          </w:p>
        </w:tc>
        <w:tc>
          <w:tcPr>
            <w:tcW w:type="dxa" w:w="1250"/>
          </w:tcPr>
          <w:p>
            <w:pPr>
              <w:pStyle w:val="Compact"/>
              <w:spacing w:after="40"/>
              <w:jc w:val="left"/>
            </w:pPr>
            <w:r>
              <w:rPr>
                <w:sz w:val="19"/>
              </w:rPr>
              <w:t xml:space="preserve">—</w:t>
            </w:r>
          </w:p>
        </w:tc>
        <w:tc>
          <w:tcPr>
            <w:tcW w:type="dxa" w:w="1208"/>
          </w:tcPr>
          <w:p>
            <w:pPr>
              <w:pStyle w:val="Compact"/>
              <w:spacing w:after="40"/>
              <w:jc w:val="left"/>
            </w:pPr>
            <w:r>
              <w:rPr>
                <w:sz w:val="19"/>
              </w:rPr>
              <w:t xml:space="preserve">0 (*)</w:t>
            </w:r>
          </w:p>
        </w:tc>
      </w:tr>
      <w:tr>
        <w:tc>
          <w:tcPr>
            <w:tcW w:type="dxa" w:w="795"/>
          </w:tcPr>
          <w:p>
            <w:pPr>
              <w:pStyle w:val="Compact"/>
              <w:spacing w:after="40"/>
              <w:jc w:val="left"/>
            </w:pPr>
            <w:r>
              <w:rPr>
                <w:b/>
                <w:bCs/>
                <w:sz w:val="19"/>
              </w:rPr>
              <w:t xml:space="preserve">3.</w:t>
            </w:r>
          </w:p>
        </w:tc>
        <w:tc>
          <w:tcPr>
            <w:tcW w:type="dxa" w:w="2980"/>
          </w:tcPr>
          <w:p>
            <w:pPr>
              <w:pStyle w:val="Compact"/>
              <w:spacing w:after="40"/>
              <w:jc w:val="left"/>
            </w:pPr>
            <w:r>
              <w:rPr>
                <w:b/>
                <w:bCs/>
                <w:sz w:val="19"/>
              </w:rPr>
              <w:t xml:space="preserve">Servicios e infraestructura</w:t>
            </w:r>
          </w:p>
        </w:tc>
        <w:tc>
          <w:tcPr>
            <w:tcW w:type="dxa" w:w="1192"/>
          </w:tcPr>
          <w:p>
            <w:pPr>
              <w:pStyle w:val="Compact"/>
              <w:spacing w:after="40"/>
              <w:jc w:val="left"/>
            </w:pPr>
            <w:r>
              <w:rPr>
                <w:sz w:val="19"/>
              </w:rPr>
              <w:t xml:space="preserve">—</w:t>
            </w:r>
          </w:p>
        </w:tc>
        <w:tc>
          <w:tcPr>
            <w:tcW w:type="dxa" w:w="1589"/>
          </w:tcPr>
          <w:p>
            <w:pPr>
              <w:pStyle w:val="Compact"/>
              <w:spacing w:after="40"/>
              <w:jc w:val="left"/>
            </w:pPr>
            <w:r>
              <w:rPr>
                <w:sz w:val="19"/>
              </w:rPr>
              <w:t xml:space="preserve">—</w:t>
            </w:r>
          </w:p>
        </w:tc>
        <w:tc>
          <w:tcPr>
            <w:tcW w:type="dxa" w:w="1250"/>
          </w:tcPr>
          <w:p>
            <w:pPr>
              <w:pStyle w:val="Compact"/>
              <w:spacing w:after="40"/>
              <w:jc w:val="left"/>
            </w:pPr>
            <w:r>
              <w:rPr>
                <w:sz w:val="19"/>
              </w:rPr>
              <w:t xml:space="preserve">—</w:t>
            </w:r>
          </w:p>
        </w:tc>
        <w:tc>
          <w:tcPr>
            <w:tcW w:type="dxa" w:w="1208"/>
          </w:tcPr>
          <w:p>
            <w:pPr>
              <w:pStyle w:val="Compact"/>
              <w:spacing w:after="40"/>
              <w:jc w:val="left"/>
            </w:pPr>
            <w:r>
              <w:rPr>
                <w:b/>
                <w:bCs/>
                <w:sz w:val="19"/>
              </w:rPr>
              <w:t xml:space="preserve">600</w:t>
            </w:r>
          </w:p>
        </w:tc>
      </w:tr>
      <w:tr>
        <w:tc>
          <w:tcPr>
            <w:tcW w:type="dxa" w:w="795"/>
          </w:tcPr>
          <w:p>
            <w:pPr>
              <w:pStyle w:val="Compact"/>
              <w:spacing w:after="40"/>
              <w:jc w:val="left"/>
            </w:pPr>
            <w:r>
              <w:rPr>
                <w:sz w:val="19"/>
              </w:rPr>
              <w:t xml:space="preserve">3.1</w:t>
            </w:r>
          </w:p>
        </w:tc>
        <w:tc>
          <w:tcPr>
            <w:tcW w:type="dxa" w:w="2980"/>
          </w:tcPr>
          <w:p>
            <w:pPr>
              <w:pStyle w:val="Compact"/>
              <w:spacing w:after="40"/>
              <w:jc w:val="left"/>
            </w:pPr>
            <w:r>
              <w:rPr>
                <w:sz w:val="19"/>
              </w:rPr>
              <w:t xml:space="preserve">Internet y electricidad (proporcional al tiempo)</w:t>
            </w:r>
          </w:p>
        </w:tc>
        <w:tc>
          <w:tcPr>
            <w:tcW w:type="dxa" w:w="1192"/>
          </w:tcPr>
          <w:p>
            <w:pPr>
              <w:pStyle w:val="Compact"/>
              <w:spacing w:after="40"/>
              <w:jc w:val="left"/>
            </w:pPr>
            <w:r>
              <w:rPr>
                <w:sz w:val="19"/>
              </w:rPr>
              <w:t xml:space="preserve">Mes</w:t>
            </w:r>
          </w:p>
        </w:tc>
        <w:tc>
          <w:tcPr>
            <w:tcW w:type="dxa" w:w="1589"/>
          </w:tcPr>
          <w:p>
            <w:pPr>
              <w:pStyle w:val="Compact"/>
              <w:spacing w:after="40"/>
              <w:jc w:val="left"/>
            </w:pPr>
            <w:r>
              <w:rPr>
                <w:sz w:val="19"/>
              </w:rPr>
              <w:t xml:space="preserve">4</w:t>
            </w:r>
          </w:p>
        </w:tc>
        <w:tc>
          <w:tcPr>
            <w:tcW w:type="dxa" w:w="1250"/>
          </w:tcPr>
          <w:p>
            <w:pPr>
              <w:pStyle w:val="Compact"/>
              <w:spacing w:after="40"/>
              <w:jc w:val="left"/>
            </w:pPr>
            <w:r>
              <w:rPr>
                <w:sz w:val="19"/>
              </w:rPr>
              <w:t xml:space="preserve">150</w:t>
            </w:r>
          </w:p>
        </w:tc>
        <w:tc>
          <w:tcPr>
            <w:tcW w:type="dxa" w:w="1208"/>
          </w:tcPr>
          <w:p>
            <w:pPr>
              <w:pStyle w:val="Compact"/>
              <w:spacing w:after="40"/>
              <w:jc w:val="left"/>
            </w:pPr>
            <w:r>
              <w:rPr>
                <w:sz w:val="19"/>
              </w:rPr>
              <w:t xml:space="preserve">600</w:t>
            </w:r>
          </w:p>
        </w:tc>
      </w:tr>
      <w:tr>
        <w:tc>
          <w:tcPr>
            <w:tcW w:type="dxa" w:w="795"/>
          </w:tcPr>
          <w:p>
            <w:pPr>
              <w:pStyle w:val="Compact"/>
              <w:spacing w:after="40"/>
              <w:jc w:val="left"/>
            </w:pPr>
            <w:r>
              <w:rPr>
                <w:b/>
                <w:bCs/>
                <w:sz w:val="19"/>
              </w:rPr>
              <w:t xml:space="preserve">4.</w:t>
            </w:r>
          </w:p>
        </w:tc>
        <w:tc>
          <w:tcPr>
            <w:tcW w:type="dxa" w:w="2980"/>
          </w:tcPr>
          <w:p>
            <w:pPr>
              <w:pStyle w:val="Compact"/>
              <w:spacing w:after="40"/>
              <w:jc w:val="left"/>
            </w:pPr>
            <w:r>
              <w:rPr>
                <w:b/>
                <w:bCs/>
                <w:sz w:val="19"/>
              </w:rPr>
              <w:t xml:space="preserve">Bienes y equipos</w:t>
            </w:r>
          </w:p>
        </w:tc>
        <w:tc>
          <w:tcPr>
            <w:tcW w:type="dxa" w:w="1192"/>
          </w:tcPr>
          <w:p>
            <w:pPr>
              <w:pStyle w:val="Compact"/>
              <w:spacing w:after="40"/>
              <w:jc w:val="left"/>
            </w:pPr>
            <w:r>
              <w:rPr>
                <w:sz w:val="19"/>
              </w:rPr>
              <w:t xml:space="preserve">—</w:t>
            </w:r>
          </w:p>
        </w:tc>
        <w:tc>
          <w:tcPr>
            <w:tcW w:type="dxa" w:w="1589"/>
          </w:tcPr>
          <w:p>
            <w:pPr>
              <w:pStyle w:val="Compact"/>
              <w:spacing w:after="40"/>
              <w:jc w:val="left"/>
            </w:pPr>
            <w:r>
              <w:rPr>
                <w:sz w:val="19"/>
              </w:rPr>
              <w:t xml:space="preserve">—</w:t>
            </w:r>
          </w:p>
        </w:tc>
        <w:tc>
          <w:tcPr>
            <w:tcW w:type="dxa" w:w="1250"/>
          </w:tcPr>
          <w:p>
            <w:pPr>
              <w:pStyle w:val="Compact"/>
              <w:spacing w:after="40"/>
              <w:jc w:val="left"/>
            </w:pPr>
            <w:r>
              <w:rPr>
                <w:sz w:val="19"/>
              </w:rPr>
              <w:t xml:space="preserve">—</w:t>
            </w:r>
          </w:p>
        </w:tc>
        <w:tc>
          <w:tcPr>
            <w:tcW w:type="dxa" w:w="1208"/>
          </w:tcPr>
          <w:p>
            <w:pPr>
              <w:pStyle w:val="Compact"/>
              <w:spacing w:after="40"/>
              <w:jc w:val="left"/>
            </w:pPr>
            <w:r>
              <w:rPr>
                <w:b/>
                <w:bCs/>
                <w:sz w:val="19"/>
              </w:rPr>
              <w:t xml:space="preserve">625</w:t>
            </w:r>
          </w:p>
        </w:tc>
      </w:tr>
      <w:tr>
        <w:tc>
          <w:tcPr>
            <w:tcW w:type="dxa" w:w="795"/>
          </w:tcPr>
          <w:p>
            <w:pPr>
              <w:pStyle w:val="Compact"/>
              <w:spacing w:after="40"/>
              <w:jc w:val="left"/>
            </w:pPr>
            <w:r>
              <w:rPr>
                <w:sz w:val="19"/>
              </w:rPr>
              <w:t xml:space="preserve">4.1</w:t>
            </w:r>
          </w:p>
        </w:tc>
        <w:tc>
          <w:tcPr>
            <w:tcW w:type="dxa" w:w="2980"/>
          </w:tcPr>
          <w:p>
            <w:pPr>
              <w:pStyle w:val="Compact"/>
              <w:spacing w:after="40"/>
              <w:jc w:val="left"/>
            </w:pPr>
            <w:r>
              <w:rPr>
                <w:sz w:val="19"/>
              </w:rPr>
              <w:t xml:space="preserve">Equipo de cómputo (costo referencial)</w:t>
            </w:r>
          </w:p>
        </w:tc>
        <w:tc>
          <w:tcPr>
            <w:tcW w:type="dxa" w:w="1192"/>
          </w:tcPr>
          <w:p>
            <w:pPr>
              <w:pStyle w:val="Compact"/>
              <w:spacing w:after="40"/>
              <w:jc w:val="left"/>
            </w:pPr>
            <w:r>
              <w:rPr>
                <w:sz w:val="19"/>
              </w:rPr>
              <w:t xml:space="preserve">Horas</w:t>
            </w:r>
          </w:p>
        </w:tc>
        <w:tc>
          <w:tcPr>
            <w:tcW w:type="dxa" w:w="1589"/>
          </w:tcPr>
          <w:p>
            <w:pPr>
              <w:pStyle w:val="Compact"/>
              <w:spacing w:after="40"/>
              <w:jc w:val="left"/>
            </w:pPr>
            <w:r>
              <w:rPr>
                <w:sz w:val="19"/>
              </w:rPr>
              <w:t xml:space="preserve">250</w:t>
            </w:r>
          </w:p>
        </w:tc>
        <w:tc>
          <w:tcPr>
            <w:tcW w:type="dxa" w:w="1250"/>
          </w:tcPr>
          <w:p>
            <w:pPr>
              <w:pStyle w:val="Compact"/>
              <w:spacing w:after="40"/>
              <w:jc w:val="left"/>
            </w:pPr>
            <w:r>
              <w:rPr>
                <w:sz w:val="19"/>
              </w:rPr>
              <w:t xml:space="preserve">2.50</w:t>
            </w:r>
          </w:p>
        </w:tc>
        <w:tc>
          <w:tcPr>
            <w:tcW w:type="dxa" w:w="1208"/>
          </w:tcPr>
          <w:p>
            <w:pPr>
              <w:pStyle w:val="Compact"/>
              <w:spacing w:after="40"/>
              <w:jc w:val="left"/>
            </w:pPr>
            <w:r>
              <w:rPr>
                <w:sz w:val="19"/>
              </w:rPr>
              <w:t xml:space="preserve">625</w:t>
            </w:r>
          </w:p>
        </w:tc>
      </w:tr>
      <w:tr>
        <w:tc>
          <w:tcPr>
            <w:tcW w:type="dxa" w:w="795"/>
          </w:tcPr>
          <w:p>
            <w:pPr>
              <w:pStyle w:val="Compact"/>
              <w:spacing w:after="40"/>
              <w:jc w:val="left"/>
            </w:pPr>
            <w:r>
              <w:rPr>
                <w:sz w:val="19"/>
              </w:rPr>
              <w:t xml:space="preserve">4.2</w:t>
            </w:r>
          </w:p>
        </w:tc>
        <w:tc>
          <w:tcPr>
            <w:tcW w:type="dxa" w:w="2980"/>
          </w:tcPr>
          <w:p>
            <w:pPr>
              <w:pStyle w:val="Compact"/>
              <w:spacing w:after="40"/>
              <w:jc w:val="left"/>
            </w:pPr>
            <w:r>
              <w:rPr>
                <w:sz w:val="19"/>
              </w:rPr>
              <w:t xml:space="preserve">Licencias de Software (</w:t>
            </w:r>
            <w:r>
              <w:rPr>
                <w:i/>
                <w:iCs/>
                <w:sz w:val="19"/>
              </w:rPr>
              <w:t xml:space="preserve">Stack open-source</w:t>
            </w:r>
            <w:r>
              <w:rPr>
                <w:sz w:val="19"/>
              </w:rPr>
              <w:t xml:space="preserve">)</w:t>
            </w:r>
          </w:p>
        </w:tc>
        <w:tc>
          <w:tcPr>
            <w:tcW w:type="dxa" w:w="1192"/>
          </w:tcPr>
          <w:p>
            <w:pPr>
              <w:pStyle w:val="Compact"/>
              <w:spacing w:after="40"/>
              <w:jc w:val="left"/>
            </w:pPr>
            <w:r>
              <w:rPr>
                <w:sz w:val="19"/>
              </w:rPr>
              <w:t xml:space="preserve">Unidad</w:t>
            </w:r>
          </w:p>
        </w:tc>
        <w:tc>
          <w:tcPr>
            <w:tcW w:type="dxa" w:w="1589"/>
          </w:tcPr>
          <w:p>
            <w:pPr>
              <w:pStyle w:val="Compact"/>
              <w:spacing w:after="40"/>
              <w:jc w:val="left"/>
            </w:pPr>
            <w:r>
              <w:rPr>
                <w:sz w:val="19"/>
              </w:rPr>
              <w:t xml:space="preserve">1</w:t>
            </w:r>
          </w:p>
        </w:tc>
        <w:tc>
          <w:tcPr>
            <w:tcW w:type="dxa" w:w="1250"/>
          </w:tcPr>
          <w:p>
            <w:pPr>
              <w:pStyle w:val="Compact"/>
              <w:spacing w:after="40"/>
              <w:jc w:val="left"/>
            </w:pPr>
            <w:r>
              <w:rPr>
                <w:sz w:val="19"/>
              </w:rPr>
              <w:t xml:space="preserve">0</w:t>
            </w:r>
          </w:p>
        </w:tc>
        <w:tc>
          <w:tcPr>
            <w:tcW w:type="dxa" w:w="1208"/>
          </w:tcPr>
          <w:p>
            <w:pPr>
              <w:pStyle w:val="Compact"/>
              <w:spacing w:after="40"/>
              <w:jc w:val="left"/>
            </w:pPr>
            <w:r>
              <w:rPr>
                <w:sz w:val="19"/>
              </w:rPr>
              <w:t xml:space="preserve">0</w:t>
            </w:r>
          </w:p>
        </w:tc>
      </w:tr>
    </w:tbl>
    <w:p>
      <w:pPr>
        <w:pStyle w:val="BodyText"/>
        <w:keepNext w:val="0"/>
        <w:jc w:val="center"/>
      </w:pPr>
      <w:r>
        <w:rPr>
          <w:b/>
          <w:bCs/>
        </w:rPr>
        <w:t xml:space="preserve">Tabla 17: Costos del Proyecto</w:t>
      </w:r>
    </w:p>
    <w:p>
      <w:pPr>
        <w:pStyle w:val="BodyText"/>
      </w:pPr>
      <w:r>
        <w:t xml:space="preserve">(*): Este costo operativo es asumido por la universidad.</w:t>
      </w:r>
    </w:p>
    <w:bookmarkEnd w:id="138"/>
    <w:sectPr>
      <w:footnotePr>
        <w:numRestart w:val="eachSect"/>
      </w:footnotePr>
      <w:pgSz w:h="16838" w:w="11906"/>
      <w:pgMar w:bottom="1440" w:left="1440" w:right="1440" w:top="144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1"/>
  </w:num>
  <w:num w:numId="105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1"/>
  </w:num>
  <w:num w:numId="1059">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pPr>
    <w:rPr>
      <w:rFonts w:ascii="Times New Roman" w:cs="Times New Roman" w:eastAsia="Times New Roman" w:hAnsi="Times New Roman"/>
      <w:color w:val="000000"/>
      <w:sz w:val="28"/>
    </w:rPr>
  </w:style>
  <w:style w:styleId="BodyText" w:type="paragraph">
    <w:name w:val="Body Text"/>
    <w:basedOn w:val="Normal"/>
    <w:link w:val="BodyTextChar"/>
    <w:qFormat/>
    <w:pPr>
      <w:spacing w:after="120" w:before="180" w:line="276" w:lineRule="auto"/>
      <w:jc w:val="both"/>
    </w:pPr>
    <w:rPr>
      <w:rFonts w:ascii="Times New Roman" w:cs="Times New Roman" w:eastAsia="Times New Roman" w:hAnsi="Times New Roman"/>
      <w:color w:val="000000"/>
      <w:sz w:val="28"/>
    </w:rPr>
  </w:style>
  <w:style w:customStyle="1" w:styleId="FirstParagraph" w:type="paragraph">
    <w:name w:val="First Paragraph"/>
    <w:basedOn w:val="BodyText"/>
    <w:next w:val="BodyText"/>
    <w:qFormat/>
    <w:pPr>
      <w:spacing w:after="120" w:line="276" w:lineRule="auto"/>
      <w:jc w:val="both"/>
    </w:pPr>
    <w:rPr>
      <w:rFonts w:ascii="Times New Roman" w:cs="Times New Roman" w:eastAsia="Times New Roman" w:hAnsi="Times New Roman"/>
      <w:color w:val="000000"/>
      <w:sz w:val="28"/>
    </w:rPr>
  </w:style>
  <w:style w:customStyle="1" w:styleId="Compact" w:type="paragraph">
    <w:name w:val="Compact"/>
    <w:basedOn w:val="BodyText"/>
    <w:qFormat/>
    <w:pPr>
      <w:spacing w:after="120" w:before="36" w:line="276" w:lineRule="auto"/>
    </w:pPr>
    <w:rPr>
      <w:rFonts w:ascii="Times New Roman" w:cs="Times New Roman" w:eastAsia="Times New Roman" w:hAnsi="Times New Roman"/>
      <w:color w:val="000000"/>
      <w:sz w:val="28"/>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b/>
      <w:color w:val="000000"/>
      <w:spacing w:val="15"/>
      <w:sz w:val="3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120" w:before="240"/>
      <w:outlineLvl w:val="0"/>
    </w:pPr>
    <w:rPr>
      <w:rFonts w:ascii="Times New Roman" w:cs="Times New Roman" w:eastAsia="Times New Roman" w:hAnsi="Times New Roman"/>
      <w:b/>
      <w:i w:val="0"/>
      <w:color w:val="000000"/>
      <w:sz w:val="36"/>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imes New Roman" w:cs="Times New Roman" w:eastAsia="Times New Roman" w:hAnsi="Times New Roman"/>
      <w:b/>
      <w:i w:val="0"/>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Times New Roman" w:cs="Times New Roman" w:eastAsia="Times New Roman" w:hAnsi="Times New Roman"/>
      <w:b/>
      <w:i w:val="0"/>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240"/>
      <w:outlineLvl w:val="3"/>
    </w:pPr>
    <w:rPr>
      <w:rFonts w:ascii="Times New Roman" w:cs="Times New Roman" w:eastAsia="Times New Roman" w:hAnsi="Times New Roman"/>
      <w:b/>
      <w:i w:val="0"/>
      <w:iCs/>
      <w:color w:val="000000"/>
      <w:sz w:val="28"/>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276" w:lineRule="auto"/>
      <w:ind w:firstLine="0" w:left="480" w:right="480"/>
    </w:pPr>
    <w:rPr>
      <w:rFonts w:ascii="Times New Roman" w:cs="Times New Roman" w:eastAsia="Times New Roman" w:hAnsi="Times New Roman"/>
      <w:color w:val="000000"/>
      <w:sz w:val="28"/>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000000"/>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4E9A"/>
    </w:rPr>
  </w:style>
  <w:style w:styleId="TOCHeading" w:type="paragraph">
    <w:name w:val="TOC Heading"/>
    <w:basedOn w:val="Normal"/>
    <w:next w:val="BodyText"/>
    <w:uiPriority w:val="39"/>
    <w:unhideWhenUsed/>
    <w:qFormat/>
    <w:pPr>
      <w:spacing w:before="240" w:line="259" w:lineRule="auto"/>
      <w:jc w:val="left"/>
      <w:outlineLvl w:val="9"/>
    </w:pPr>
    <w:rPr>
      <w:rFonts w:ascii="Times New Roman" w:cs="Times New Roman" w:eastAsia="Times New Roman" w:hAnsi="Times New Roman"/>
      <w:b/>
      <w:bCs w:val="0"/>
      <w:color w:val="000000"/>
      <w:sz w:val="36"/>
    </w:rPr>
  </w:style>
  <w:style w:customStyle="1" w:styleId="Portada" w:type="paragraph">
    <w:name w:val="Portada"/>
    <w:basedOn w:val="Normal"/>
    <w:pPr>
      <w:jc w:val="center"/>
    </w:pPr>
    <w:rPr>
      <w:rFonts w:ascii="Times New Roman" w:cs="Times New Roman" w:eastAsia="Times New Roman" w:hAnsi="Times New Roman"/>
      <w:color w:val="000000"/>
      <w:sz w:val="28"/>
    </w:rPr>
  </w:style>
  <w:style w:customStyle="1" w:styleId="Bibliografia" w:type="paragraph">
    <w:name w:val="Bibliografia"/>
    <w:basedOn w:val="Normal"/>
    <w:pPr>
      <w:ind w:hanging="720" w:left="720"/>
      <w:jc w:val="left"/>
    </w:pPr>
    <w:rPr>
      <w:rFonts w:ascii="Times New Roman" w:cs="Times New Roman" w:eastAsia="Times New Roman" w:hAnsi="Times New Roman"/>
      <w:color w:val="000000"/>
      <w:sz w:val="24"/>
    </w:rPr>
  </w:style>
  <w:style w:customStyle="1" w:styleId="Pendiente" w:type="character">
    <w:name w:val="Pendiente"/>
    <w:rPr>
      <w:b/>
      <w:color w:val="C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47" Type="http://schemas.openxmlformats.org/officeDocument/2006/relationships/image" Target="media/rId47.png"/><Relationship Id="rId55" Type="http://schemas.openxmlformats.org/officeDocument/2006/relationships/image" Target="media/rId55.png"/><Relationship Id="rId134" Type="http://schemas.openxmlformats.org/officeDocument/2006/relationships/image" Target="media/rId134.png"/><Relationship Id="rId9" Type="http://schemas.openxmlformats.org/officeDocument/2006/relationships/image" Target="media/rId9.png"/><Relationship Id="rId68" Type="http://schemas.openxmlformats.org/officeDocument/2006/relationships/image" Target="media/rId68.png"/><Relationship Id="rId71" Type="http://schemas.openxmlformats.org/officeDocument/2006/relationships/image" Target="media/rId71.png"/><Relationship Id="rId74" Type="http://schemas.openxmlformats.org/officeDocument/2006/relationships/image" Target="media/rId74.png"/><Relationship Id="rId77" Type="http://schemas.openxmlformats.org/officeDocument/2006/relationships/image" Target="media/rId77.png"/><Relationship Id="rId80" Type="http://schemas.openxmlformats.org/officeDocument/2006/relationships/image" Target="media/rId80.png"/><Relationship Id="rId83" Type="http://schemas.openxmlformats.org/officeDocument/2006/relationships/image" Target="media/rId83.png"/><Relationship Id="rId132" Type="http://schemas.openxmlformats.org/officeDocument/2006/relationships/hyperlink" Target="https://docs.google.com/spreadsheets/d/1JN1V4FIywM8CCUYy8dCghtPRuExf2mWbP-lAPMFrSJQ/edit?gid=0#gid=0" TargetMode="External"/><Relationship Id="rId137" Type="http://schemas.openxmlformats.org/officeDocument/2006/relationships/hyperlink" Target="https://docs.google.com/spreadsheets/d/1chlP4i1XpWwto6bSq2iiW84iaOECVYVULAyoz7jm4_A/edit?usp=sharing" TargetMode="External"/></Relationships>
</file>

<file path=word/_rels/footnotes.xml.rels><?xml version='1.0' encoding='UTF-8' standalone='yes'?>
<Relationships xmlns="http://schemas.openxmlformats.org/package/2006/relationships"><Relationship Id="rId132" Type="http://schemas.openxmlformats.org/officeDocument/2006/relationships/hyperlink" Target="https://docs.google.com/spreadsheets/d/1JN1V4FIywM8CCUYy8dCghtPRuExf2mWbP-lAPMFrSJQ/edit?gid=0#gid=0" TargetMode="External"/><Relationship Id="rId137" Type="http://schemas.openxmlformats.org/officeDocument/2006/relationships/hyperlink" Target="https://docs.google.com/spreadsheets/d/1chlP4i1XpWwto6bSq2iiW84iaOECVYVULAyoz7jm4_A/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 una Arquitectura MLOps para la Validación Continua de Equidad (Fairness) - v2</dc:title>
  <dc:creator>Sergio Alonso Chumbimuni Bustamante</dc:creator>
  <cp:keywords/>
  <dcterms:created xsi:type="dcterms:W3CDTF">2026-09-25T19:01:10Z</dcterms:created>
  <dcterms:modified xsi:type="dcterms:W3CDTF">2026-09-25T19:01:10Z</dcterms:modified>
</cp:coreProperties>
</file>

<file path=docProps/custom.xml><?xml version="1.0" encoding="utf-8"?>
<Properties xmlns="http://schemas.openxmlformats.org/officeDocument/2006/custom-properties" xmlns:vt="http://schemas.openxmlformats.org/officeDocument/2006/docPropsVTypes"/>
</file>