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0" w:rsidRPr="00455D0A" w:rsidRDefault="00A34CA5" w:rsidP="00455D0A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Gerencia </w:t>
      </w:r>
      <w:r w:rsidR="00F730BE">
        <w:rPr>
          <w:b/>
          <w:color w:val="1F497D" w:themeColor="text2"/>
          <w:sz w:val="28"/>
          <w:szCs w:val="28"/>
        </w:rPr>
        <w:t>Canales y Comercio Electrónico</w:t>
      </w:r>
    </w:p>
    <w:p w:rsidR="00DC68BE" w:rsidRPr="00455D0A" w:rsidRDefault="00F730B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Departamento de Canales Electrónicos Externos</w:t>
      </w:r>
    </w:p>
    <w:p w:rsidR="00DC68BE" w:rsidRPr="00455D0A" w:rsidRDefault="00C125F5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AutoShape 13" o:spid="_x0000_s1026" style="position:absolute;left:0;text-align:left;margin-left:403.3pt;margin-top:8.9pt;width:93.65pt;height:21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7365d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AutoShape 13">
              <w:txbxContent>
                <w:p w:rsidR="00A34CA5" w:rsidRPr="001A116A" w:rsidRDefault="00A34CA5" w:rsidP="00DC68BE">
                  <w:pPr>
                    <w:ind w:right="-15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Minuta</w:t>
                  </w:r>
                </w:p>
              </w:txbxContent>
            </v:textbox>
          </v:roundrect>
        </w:pic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DC68BE" w:rsidRPr="00455D0A" w:rsidRDefault="00C125F5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7" style="position:absolute;margin-left:-.3pt;margin-top:8.15pt;width:499.35pt;height:30.05pt;z-index: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7">
              <w:txbxContent>
                <w:p w:rsidR="00A34CA5" w:rsidRPr="001A116A" w:rsidRDefault="00A34CA5" w:rsidP="00DC68BE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Asunto: </w:t>
                  </w:r>
                  <w:r w:rsidR="000A6B48" w:rsidRPr="00725598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Seguimiento proyecto Nueva Banca Móvil</w:t>
                  </w:r>
                </w:p>
              </w:txbxContent>
            </v:textbox>
          </v:roundrect>
        </w:pic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0F6FE7" w:rsidP="000F6FE7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09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de 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Septiembre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>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7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8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</w:t>
            </w:r>
            <w:r w:rsidR="00221347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CC55B0" w:rsidP="00F7742E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Estado 260</w:t>
            </w:r>
            <w:r w:rsidR="00E4022B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, </w:t>
            </w:r>
            <w:r w:rsidR="00F7742E">
              <w:rPr>
                <w:rFonts w:eastAsia="Times New Roman" w:cs="Calibri"/>
                <w:b/>
                <w:sz w:val="24"/>
                <w:szCs w:val="24"/>
                <w:lang w:eastAsia="es-CL"/>
              </w:rPr>
              <w:t>Entrepiso, sala 1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C125F5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8" style="position:absolute;margin-left:-.3pt;margin-top:8.55pt;width:499.35pt;height:21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8">
              <w:txbxContent>
                <w:p w:rsidR="00A34CA5" w:rsidRPr="001A116A" w:rsidRDefault="00A34CA5" w:rsidP="009E685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Participantes</w:t>
                  </w:r>
                </w:p>
              </w:txbxContent>
            </v:textbox>
          </v:roundrect>
        </w:pic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111"/>
        <w:gridCol w:w="992"/>
      </w:tblGrid>
      <w:tr w:rsidR="003A5D01" w:rsidRPr="00455D0A" w:rsidTr="00B31A7F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  <w:tc>
          <w:tcPr>
            <w:tcW w:w="411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99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7E72A7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Carolina Pacheco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Barraza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ED61B4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E4022B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Marjorie Carriel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F7742E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0A6B48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Rodrigo Palma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0F6FE7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Default="002B030A" w:rsidP="00A01660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Alejandro Silva</w:t>
            </w:r>
            <w:r w:rsidR="00E4022B" w:rsidRPr="000A6B48">
              <w:rPr>
                <w:rFonts w:ascii="Arial" w:hAnsi="Arial"/>
                <w:color w:val="333333"/>
                <w:sz w:val="20"/>
                <w:szCs w:val="20"/>
              </w:rPr>
              <w:t xml:space="preserve"> </w:t>
            </w:r>
            <w:r w:rsidR="00E4022B">
              <w:rPr>
                <w:rFonts w:ascii="Arial" w:hAnsi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Pr="009E6853" w:rsidRDefault="00A105C8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E4022B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Patricio Silva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0F6FE7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E4022B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Corina Hernández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Pereira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F7742E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Default="00ED61B4" w:rsidP="00A01660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 w:rsidRPr="004F00E9">
              <w:rPr>
                <w:rFonts w:ascii="Arial" w:hAnsi="Arial"/>
                <w:color w:val="333333"/>
                <w:sz w:val="20"/>
                <w:szCs w:val="20"/>
              </w:rPr>
              <w:t>Luis Maldonado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Default="00F7742E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Giovanna Hernández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A0166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Alejandro Figueroa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Marcela Ferrada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CC55B0" w:rsidRPr="00455D0A" w:rsidTr="00A01660">
        <w:trPr>
          <w:trHeight w:val="300"/>
        </w:trPr>
        <w:tc>
          <w:tcPr>
            <w:tcW w:w="3969" w:type="dxa"/>
            <w:shd w:val="clear" w:color="auto" w:fill="DBE5F1" w:themeFill="accent1" w:themeFillTint="33"/>
            <w:noWrap/>
            <w:vAlign w:val="center"/>
          </w:tcPr>
          <w:p w:rsidR="00CC55B0" w:rsidRDefault="005D7F10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151143">
              <w:rPr>
                <w:rFonts w:ascii="Arial" w:hAnsi="Arial"/>
                <w:color w:val="333333"/>
                <w:sz w:val="20"/>
                <w:szCs w:val="20"/>
              </w:rPr>
              <w:t>Marco Ríos</w:t>
            </w:r>
          </w:p>
        </w:tc>
        <w:tc>
          <w:tcPr>
            <w:tcW w:w="851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5D7F10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EF1C66" w:rsidP="00A0166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 w:rsidRPr="00EF1C66">
              <w:rPr>
                <w:rFonts w:ascii="Arial" w:hAnsi="Arial"/>
                <w:color w:val="333333"/>
                <w:sz w:val="20"/>
                <w:szCs w:val="20"/>
              </w:rPr>
              <w:t>Denis Harwardt</w:t>
            </w:r>
          </w:p>
        </w:tc>
        <w:tc>
          <w:tcPr>
            <w:tcW w:w="992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9130F" w:rsidRDefault="00C125F5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2" style="position:absolute;margin-left:-.3pt;margin-top:.65pt;width:499.35pt;height:21pt;z-index:25166438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2">
              <w:txbxContent>
                <w:p w:rsidR="0099130F" w:rsidRPr="001A116A" w:rsidRDefault="0099130F" w:rsidP="0099130F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Temas tratados - Resumen</w:t>
                  </w:r>
                </w:p>
              </w:txbxContent>
            </v:textbox>
          </v:roundrect>
        </w:pict>
      </w:r>
    </w:p>
    <w:p w:rsidR="0099130F" w:rsidRDefault="0099130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W w:w="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300"/>
      </w:tblGrid>
      <w:tr w:rsidR="0099130F" w:rsidRPr="00A830CC" w:rsidTr="008F601D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Estado Actual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105C8" w:rsidRPr="00A105C8" w:rsidRDefault="00F67FE7" w:rsidP="00A105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</w:t>
            </w:r>
            <w:r w:rsidR="007E72A7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presenta el avance del proyecto, el cual tiene un avance de </w:t>
            </w:r>
            <w:r w:rsidR="000C7C34">
              <w:rPr>
                <w:rFonts w:ascii="Calibri" w:eastAsia="Times New Roman" w:hAnsi="Calibri" w:cs="Times New Roman"/>
                <w:color w:val="1F497D"/>
                <w:lang w:eastAsia="es-CL"/>
              </w:rPr>
              <w:t>70</w:t>
            </w:r>
            <w:r w:rsidR="007E72A7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%,</w:t>
            </w:r>
            <w:r w:rsidR="00A97453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se mantiene el retraso ya informado</w:t>
            </w:r>
            <w:r w:rsidR="007E72A7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</w:p>
          <w:p w:rsidR="00A105C8" w:rsidRPr="00A105C8" w:rsidRDefault="00F67FE7" w:rsidP="00A105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MR indica que </w:t>
            </w:r>
            <w:r w:rsidR="00A97453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SAP </w:t>
            </w:r>
            <w:r w:rsidR="000F6FE7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no ha entregado </w:t>
            </w:r>
            <w:r w:rsidR="00C652D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un nuevo </w:t>
            </w:r>
            <w:proofErr w:type="spellStart"/>
            <w:r w:rsidR="00C652DC">
              <w:rPr>
                <w:rFonts w:ascii="Calibri" w:eastAsia="Times New Roman" w:hAnsi="Calibri" w:cs="Times New Roman"/>
                <w:color w:val="1F497D"/>
                <w:lang w:eastAsia="es-CL"/>
              </w:rPr>
              <w:t>release</w:t>
            </w:r>
            <w:proofErr w:type="spellEnd"/>
            <w:r w:rsidR="000F6FE7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r w:rsidR="00C652D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este viernes </w:t>
            </w:r>
            <w:r w:rsidR="000F6FE7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debido a que </w:t>
            </w:r>
            <w:r w:rsidR="00C652D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el último </w:t>
            </w:r>
            <w:proofErr w:type="spellStart"/>
            <w:r w:rsidR="006F56E8">
              <w:rPr>
                <w:rFonts w:ascii="Calibri" w:eastAsia="Times New Roman" w:hAnsi="Calibri" w:cs="Times New Roman"/>
                <w:color w:val="1F497D"/>
                <w:lang w:eastAsia="es-CL"/>
              </w:rPr>
              <w:t>rele</w:t>
            </w:r>
            <w:r w:rsidR="00C652DC">
              <w:rPr>
                <w:rFonts w:ascii="Calibri" w:eastAsia="Times New Roman" w:hAnsi="Calibri" w:cs="Times New Roman"/>
                <w:color w:val="1F497D"/>
                <w:lang w:eastAsia="es-CL"/>
              </w:rPr>
              <w:t>ase</w:t>
            </w:r>
            <w:proofErr w:type="spellEnd"/>
            <w:r w:rsidR="00C652D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r w:rsidR="006F56E8">
              <w:rPr>
                <w:rFonts w:ascii="Calibri" w:eastAsia="Times New Roman" w:hAnsi="Calibri" w:cs="Times New Roman"/>
                <w:color w:val="1F497D"/>
                <w:lang w:eastAsia="es-CL"/>
              </w:rPr>
              <w:t>venía con muchos defectos</w:t>
            </w:r>
            <w:r w:rsidR="00A105C8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. </w:t>
            </w:r>
            <w:r w:rsidR="006F56E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El viernes 6 entregarán una nueva versión con bug</w:t>
            </w:r>
            <w:r w:rsidR="00CA3C64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proofErr w:type="spellStart"/>
            <w:r w:rsidR="006F56E8">
              <w:rPr>
                <w:rFonts w:ascii="Calibri" w:eastAsia="Times New Roman" w:hAnsi="Calibri" w:cs="Times New Roman"/>
                <w:color w:val="1F497D"/>
                <w:lang w:eastAsia="es-CL"/>
              </w:rPr>
              <w:t>fixes</w:t>
            </w:r>
            <w:proofErr w:type="spellEnd"/>
            <w:r w:rsidR="006F56E8"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</w:p>
          <w:p w:rsidR="00A105C8" w:rsidRPr="00A105C8" w:rsidRDefault="00F67FE7" w:rsidP="00A105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indica que h</w:t>
            </w:r>
            <w:r w:rsidR="00A105C8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as</w:t>
            </w:r>
            <w:r w:rsidR="00371320">
              <w:rPr>
                <w:rFonts w:ascii="Calibri" w:eastAsia="Times New Roman" w:hAnsi="Calibri" w:cs="Times New Roman"/>
                <w:color w:val="1F497D"/>
                <w:lang w:eastAsia="es-CL"/>
              </w:rPr>
              <w:t>ta el minuto se han encontrado 54</w:t>
            </w:r>
            <w:r w:rsidR="00A105C8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observaciones, de las cuales </w:t>
            </w:r>
            <w:r w:rsidR="00371320">
              <w:rPr>
                <w:rFonts w:ascii="Calibri" w:eastAsia="Times New Roman" w:hAnsi="Calibri" w:cs="Times New Roman"/>
                <w:color w:val="1F497D"/>
                <w:lang w:eastAsia="es-CL"/>
              </w:rPr>
              <w:t>11</w:t>
            </w:r>
            <w:r w:rsidR="00A105C8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ya están resueltas</w:t>
            </w:r>
            <w:r w:rsidR="00A97453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  <w:r w:rsidR="00A105C8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r w:rsidR="000F3EE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Dentro de las 54 observaciones se encuentran las observaciones gráficas del usuario.</w:t>
            </w:r>
          </w:p>
          <w:p w:rsidR="00F96C19" w:rsidRDefault="00F96C19" w:rsidP="0058145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indica que las fábricas han entregado los servicios</w:t>
            </w:r>
            <w:r w:rsidR="0058145F">
              <w:rPr>
                <w:rFonts w:ascii="Calibri" w:eastAsia="Times New Roman" w:hAnsi="Calibri" w:cs="Times New Roman"/>
                <w:color w:val="1F497D"/>
                <w:lang w:eastAsia="es-CL"/>
              </w:rPr>
              <w:t>, el único pendiente es el de PEC el cual actualmente está simulado.</w:t>
            </w:r>
          </w:p>
          <w:p w:rsidR="006F56E8" w:rsidRPr="00F96C19" w:rsidRDefault="006F56E8" w:rsidP="006F56E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ha levantado con EFT el requerimiento </w:t>
            </w:r>
            <w:r w:rsidR="000F3EE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PEC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y el viernes 6 entregaría la propuesta.</w:t>
            </w:r>
          </w:p>
        </w:tc>
      </w:tr>
      <w:tr w:rsidR="0099130F" w:rsidRPr="00A830CC" w:rsidTr="00F67FE7">
        <w:trPr>
          <w:trHeight w:val="562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COC Nueva Banca Móvil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59" w:rsidRPr="00CC3859" w:rsidRDefault="000F3EEC" w:rsidP="00CC3859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GH indica que s</w:t>
            </w:r>
            <w:r w:rsidR="00593E38" w:rsidRPr="00593E38">
              <w:rPr>
                <w:rFonts w:ascii="Calibri" w:eastAsia="Times New Roman" w:hAnsi="Calibri" w:cs="Times New Roman"/>
                <w:color w:val="1F497D"/>
                <w:lang w:eastAsia="es-CL"/>
              </w:rPr>
              <w:t>e sigue esperando la estimación de las fábricas.</w:t>
            </w:r>
            <w:r w:rsidR="000C7C34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En particular, falta la estimación de QA </w:t>
            </w:r>
            <w:r w:rsidR="006F56E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(Pablo Becerra) </w:t>
            </w:r>
            <w:r w:rsidR="000C7C34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para entregar la fecha de </w:t>
            </w:r>
            <w:r w:rsidR="0058145F">
              <w:rPr>
                <w:rFonts w:ascii="Calibri" w:eastAsia="Times New Roman" w:hAnsi="Calibri" w:cs="Times New Roman"/>
                <w:color w:val="1F497D"/>
                <w:lang w:eastAsia="es-CL"/>
              </w:rPr>
              <w:t>cierre de este nuevo proyecto.</w:t>
            </w:r>
          </w:p>
        </w:tc>
      </w:tr>
      <w:tr w:rsidR="00F67FE7" w:rsidRPr="00A830CC" w:rsidTr="008F601D">
        <w:trPr>
          <w:trHeight w:val="1275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7FE7" w:rsidRDefault="00B53B60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Cierre DEF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7FE7" w:rsidRDefault="005649B1" w:rsidP="005649B1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indica que se ha enviado primera versión del DEF</w:t>
            </w:r>
            <w:r w:rsidR="000F3EE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, para validación de los principales </w:t>
            </w:r>
            <w:proofErr w:type="spellStart"/>
            <w:r w:rsidR="000F3EEC">
              <w:rPr>
                <w:rFonts w:ascii="Calibri" w:eastAsia="Times New Roman" w:hAnsi="Calibri" w:cs="Times New Roman"/>
                <w:color w:val="1F497D"/>
                <w:lang w:eastAsia="es-CL"/>
              </w:rPr>
              <w:t>stakeholders</w:t>
            </w:r>
            <w:proofErr w:type="spellEnd"/>
            <w:r w:rsidR="000F3EEC">
              <w:rPr>
                <w:rFonts w:ascii="Calibri" w:eastAsia="Times New Roman" w:hAnsi="Calibri" w:cs="Times New Roman"/>
                <w:color w:val="1F497D"/>
                <w:lang w:eastAsia="es-CL"/>
              </w:rPr>
              <w:t>. Se incorporarán las observaciones de Gestión de la Demanda y de las fábricas, para enviar una nueva versión.</w:t>
            </w:r>
          </w:p>
          <w:p w:rsidR="000F3EEC" w:rsidRDefault="000F3EEC" w:rsidP="000F3EEC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MR indica a CH que se agregó en DEF la forma de obtener la base de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 xml:space="preserve">datos de los clientes enrolados. Sería a través de un correo interno mediante un proceso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batch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periódico. DH pregunta si esto es seguro. CP indica que es interno </w:t>
            </w:r>
            <w:r w:rsidR="00CA3C64">
              <w:rPr>
                <w:rFonts w:ascii="Calibri" w:eastAsia="Times New Roman" w:hAnsi="Calibri" w:cs="Times New Roman"/>
                <w:color w:val="1F497D"/>
                <w:lang w:eastAsia="es-CL"/>
              </w:rPr>
              <w:t>así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que no hay problemas de seguridad. CH indica que se debe enviar a alias de Banca </w:t>
            </w:r>
            <w:r w:rsidR="00CA3C64">
              <w:rPr>
                <w:rFonts w:ascii="Calibri" w:eastAsia="Times New Roman" w:hAnsi="Calibri" w:cs="Times New Roman"/>
                <w:color w:val="1F497D"/>
                <w:lang w:eastAsia="es-CL"/>
              </w:rPr>
              <w:t>Móvil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, quien recibe estos correos </w:t>
            </w:r>
            <w:r w:rsidR="00CA3C64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es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Pamela Silva</w:t>
            </w:r>
            <w:r w:rsidR="00CA3C64">
              <w:rPr>
                <w:rFonts w:ascii="Calibri" w:eastAsia="Times New Roman" w:hAnsi="Calibri" w:cs="Times New Roman"/>
                <w:color w:val="1F497D"/>
                <w:lang w:eastAsia="es-CL"/>
              </w:rPr>
              <w:t>,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de Gestión. Se validará casilla a enviar correo.</w:t>
            </w:r>
          </w:p>
          <w:p w:rsidR="00CC3859" w:rsidRDefault="00CC3859" w:rsidP="000F3EEC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Aún queda pendiente la validación por parte de AF y Veronica Portus del DEF.</w:t>
            </w:r>
          </w:p>
        </w:tc>
      </w:tr>
      <w:tr w:rsidR="0099130F" w:rsidRPr="00A830CC" w:rsidTr="008F601D">
        <w:trPr>
          <w:trHeight w:val="915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A830CC"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 xml:space="preserve">Control de Seguridad 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9130F" w:rsidRPr="006F56E8" w:rsidRDefault="00593E38" w:rsidP="006F56E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</w:t>
            </w:r>
            <w:r w:rsidR="000C7C34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realizó </w:t>
            </w:r>
            <w:proofErr w:type="spellStart"/>
            <w:r w:rsidR="000C7C34">
              <w:rPr>
                <w:rFonts w:ascii="Calibri" w:eastAsia="Times New Roman" w:hAnsi="Calibri" w:cs="Times New Roman"/>
                <w:color w:val="1F497D"/>
                <w:lang w:eastAsia="es-CL"/>
              </w:rPr>
              <w:t>Call</w:t>
            </w:r>
            <w:proofErr w:type="spellEnd"/>
            <w:r w:rsidR="000C7C34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proofErr w:type="spellStart"/>
            <w:r w:rsidR="000C7C34">
              <w:rPr>
                <w:rFonts w:ascii="Calibri" w:eastAsia="Times New Roman" w:hAnsi="Calibri" w:cs="Times New Roman"/>
                <w:color w:val="1F497D"/>
                <w:lang w:eastAsia="es-CL"/>
              </w:rPr>
              <w:t>Conference</w:t>
            </w:r>
            <w:proofErr w:type="spellEnd"/>
            <w:r w:rsidR="000C7C34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con experto de M</w:t>
            </w:r>
            <w:r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>ocana</w:t>
            </w:r>
            <w:r w:rsidR="000C7C34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en SAP. Se identificó que la solución</w:t>
            </w:r>
            <w:r w:rsidR="00C652D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cubre los nuevos </w:t>
            </w:r>
            <w:r w:rsidR="000C7C34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requerimientos de seguridad. SAP indicó que </w:t>
            </w:r>
            <w:r w:rsidR="0058145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no hay </w:t>
            </w:r>
            <w:r w:rsidR="006F56E8">
              <w:rPr>
                <w:rFonts w:ascii="Calibri" w:eastAsia="Times New Roman" w:hAnsi="Calibri" w:cs="Times New Roman"/>
                <w:color w:val="1F497D"/>
                <w:lang w:eastAsia="es-CL"/>
              </w:rPr>
              <w:t>modelo de licenciamiento para clientes finales (B2C) por lo que se revisará si es factible implementar Mocana en el proyecto. Se tendrá respuesta el jueves 5 de sept.</w:t>
            </w:r>
          </w:p>
        </w:tc>
      </w:tr>
      <w:tr w:rsidR="000C7C34" w:rsidRPr="00A830CC" w:rsidTr="008F601D">
        <w:trPr>
          <w:trHeight w:val="915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7C34" w:rsidRPr="00A830CC" w:rsidRDefault="000C7C34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Migración Cuenta Vista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7C34" w:rsidRPr="00F96C19" w:rsidRDefault="000C7C34" w:rsidP="00CA3C6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DH consulta acerca de migración cuenta vista y como el atraso de ese proyecto puede impactar a </w:t>
            </w:r>
            <w:r w:rsidR="0058145F">
              <w:rPr>
                <w:rFonts w:ascii="Calibri" w:eastAsia="Times New Roman" w:hAnsi="Calibri" w:cs="Times New Roman"/>
                <w:color w:val="1F497D"/>
                <w:lang w:eastAsia="es-CL"/>
              </w:rPr>
              <w:t>nuestro proyecto. CP indica que hasta ahora no</w:t>
            </w:r>
            <w:r w:rsidR="006F56E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hay impacto, pero si existe otro retraso hay que evaluar el impacto para la salida en enero.</w:t>
            </w:r>
          </w:p>
        </w:tc>
      </w:tr>
      <w:tr w:rsidR="0099130F" w:rsidRPr="00A830CC" w:rsidTr="008F601D">
        <w:trPr>
          <w:trHeight w:val="915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Alertas del proyecto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A0678" w:rsidRPr="00C652DC" w:rsidRDefault="00F96C19" w:rsidP="00C652DC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 mantiene el riesgo por parte de Seguridad.</w:t>
            </w:r>
          </w:p>
        </w:tc>
      </w:tr>
    </w:tbl>
    <w:p w:rsidR="00455D0A" w:rsidRPr="00455D0A" w:rsidRDefault="00C125F5" w:rsidP="008C12EB">
      <w:pPr>
        <w:tabs>
          <w:tab w:val="left" w:pos="3840"/>
        </w:tabs>
        <w:spacing w:after="0" w:line="24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0" style="position:absolute;left:0;text-align:left;margin-left:-1.8pt;margin-top:2.75pt;width:499.35pt;height:21pt;z-index:2516623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0">
              <w:txbxContent>
                <w:p w:rsidR="00A34CA5" w:rsidRPr="001A116A" w:rsidRDefault="00A34CA5" w:rsidP="00455D0A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Compromisos - Acuerdos</w:t>
                  </w: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F67FE7" w:rsidRPr="00455D0A" w:rsidTr="0084720D">
        <w:trPr>
          <w:trHeight w:val="321"/>
        </w:trPr>
        <w:tc>
          <w:tcPr>
            <w:tcW w:w="9851" w:type="dxa"/>
            <w:gridSpan w:val="3"/>
            <w:shd w:val="clear" w:color="auto" w:fill="17365D" w:themeFill="text2" w:themeFillShade="BF"/>
          </w:tcPr>
          <w:p w:rsidR="00F67FE7" w:rsidRPr="00455D0A" w:rsidRDefault="00F67FE7" w:rsidP="00F67FE7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Acuerdos</w:t>
            </w:r>
          </w:p>
        </w:tc>
      </w:tr>
      <w:tr w:rsidR="00F67FE7" w:rsidRPr="00455D0A" w:rsidTr="00484FCA">
        <w:trPr>
          <w:trHeight w:val="321"/>
        </w:trPr>
        <w:tc>
          <w:tcPr>
            <w:tcW w:w="9851" w:type="dxa"/>
            <w:gridSpan w:val="3"/>
          </w:tcPr>
          <w:p w:rsidR="00F82119" w:rsidRDefault="00F82119" w:rsidP="00F96C1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Se debe hacer se</w:t>
            </w:r>
            <w:r w:rsidR="00CC3859">
              <w:rPr>
                <w:rFonts w:eastAsia="Times New Roman" w:cs="Calibri"/>
                <w:sz w:val="24"/>
                <w:szCs w:val="24"/>
                <w:lang w:eastAsia="es-CL"/>
              </w:rPr>
              <w:t>guimiento a riesgo levantado con PEC</w:t>
            </w:r>
            <w:bookmarkStart w:id="0" w:name="_GoBack"/>
            <w:bookmarkEnd w:id="0"/>
            <w:r>
              <w:rPr>
                <w:rFonts w:eastAsia="Times New Roman" w:cs="Calibri"/>
                <w:sz w:val="24"/>
                <w:szCs w:val="24"/>
                <w:lang w:eastAsia="es-CL"/>
              </w:rPr>
              <w:t>.</w:t>
            </w:r>
          </w:p>
          <w:p w:rsidR="006F56E8" w:rsidRPr="00F96C19" w:rsidRDefault="006F56E8" w:rsidP="00F96C1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Se debe revisar con PMO impacto del proyecto Migración Cuenta Vista.</w:t>
            </w:r>
          </w:p>
        </w:tc>
      </w:tr>
      <w:tr w:rsidR="00F67FE7" w:rsidRPr="00455D0A" w:rsidTr="00F67FE7">
        <w:trPr>
          <w:trHeight w:val="321"/>
        </w:trPr>
        <w:tc>
          <w:tcPr>
            <w:tcW w:w="4890" w:type="dxa"/>
            <w:shd w:val="clear" w:color="auto" w:fill="244061" w:themeFill="accent1" w:themeFillShade="80"/>
          </w:tcPr>
          <w:p w:rsidR="00F67FE7" w:rsidRPr="00F67FE7" w:rsidRDefault="00F67FE7" w:rsidP="00F67FE7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F67FE7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Compromisos</w:t>
            </w:r>
          </w:p>
        </w:tc>
        <w:tc>
          <w:tcPr>
            <w:tcW w:w="2693" w:type="dxa"/>
            <w:shd w:val="clear" w:color="auto" w:fill="244061" w:themeFill="accent1" w:themeFillShade="80"/>
          </w:tcPr>
          <w:p w:rsidR="00F67FE7" w:rsidRPr="00F67FE7" w:rsidRDefault="00F67FE7" w:rsidP="00F67FE7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F67FE7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Responsable</w:t>
            </w:r>
          </w:p>
        </w:tc>
        <w:tc>
          <w:tcPr>
            <w:tcW w:w="2268" w:type="dxa"/>
            <w:shd w:val="clear" w:color="auto" w:fill="244061" w:themeFill="accent1" w:themeFillShade="80"/>
            <w:noWrap/>
          </w:tcPr>
          <w:p w:rsidR="00F67FE7" w:rsidRPr="00F67FE7" w:rsidRDefault="00F67FE7" w:rsidP="00F67FE7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F67FE7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Fecha Compromiso</w:t>
            </w:r>
          </w:p>
        </w:tc>
      </w:tr>
      <w:tr w:rsidR="00F67FE7" w:rsidRPr="00455D0A" w:rsidTr="009B4ED0">
        <w:trPr>
          <w:trHeight w:val="321"/>
        </w:trPr>
        <w:tc>
          <w:tcPr>
            <w:tcW w:w="4890" w:type="dxa"/>
          </w:tcPr>
          <w:p w:rsidR="00F67FE7" w:rsidRDefault="00F67FE7" w:rsidP="00F67FE7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Estimación de costos/tiempos COC.</w:t>
            </w:r>
          </w:p>
        </w:tc>
        <w:tc>
          <w:tcPr>
            <w:tcW w:w="2693" w:type="dxa"/>
          </w:tcPr>
          <w:p w:rsidR="00F67FE7" w:rsidRDefault="00F67FE7" w:rsidP="00F67FE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Gestión de la Demanda</w:t>
            </w:r>
          </w:p>
        </w:tc>
        <w:tc>
          <w:tcPr>
            <w:tcW w:w="2268" w:type="dxa"/>
            <w:shd w:val="clear" w:color="auto" w:fill="auto"/>
            <w:noWrap/>
          </w:tcPr>
          <w:p w:rsidR="00F67FE7" w:rsidRDefault="00F67FE7" w:rsidP="00F67FE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13/08/2013</w:t>
            </w:r>
          </w:p>
          <w:p w:rsidR="006F56E8" w:rsidRDefault="006F56E8" w:rsidP="00F67FE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Pendiente</w:t>
            </w:r>
          </w:p>
        </w:tc>
      </w:tr>
      <w:tr w:rsidR="00B11AC9" w:rsidRPr="00455D0A" w:rsidTr="009B4ED0">
        <w:trPr>
          <w:trHeight w:val="321"/>
        </w:trPr>
        <w:tc>
          <w:tcPr>
            <w:tcW w:w="4890" w:type="dxa"/>
          </w:tcPr>
          <w:p w:rsidR="00B11AC9" w:rsidRDefault="00B11AC9" w:rsidP="00F67FE7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Requerimientos de seguridad</w:t>
            </w:r>
          </w:p>
        </w:tc>
        <w:tc>
          <w:tcPr>
            <w:tcW w:w="2693" w:type="dxa"/>
          </w:tcPr>
          <w:p w:rsidR="00B11AC9" w:rsidRDefault="00B11AC9" w:rsidP="00F67FE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Gestión de la Demanda</w:t>
            </w:r>
          </w:p>
        </w:tc>
        <w:tc>
          <w:tcPr>
            <w:tcW w:w="2268" w:type="dxa"/>
            <w:shd w:val="clear" w:color="auto" w:fill="auto"/>
            <w:noWrap/>
          </w:tcPr>
          <w:p w:rsidR="00B11AC9" w:rsidRDefault="00B11AC9" w:rsidP="00F67FE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13/08/2013</w:t>
            </w:r>
          </w:p>
          <w:p w:rsidR="006F56E8" w:rsidRDefault="006F56E8" w:rsidP="00F67FE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Pendiente</w:t>
            </w:r>
          </w:p>
        </w:tc>
      </w:tr>
    </w:tbl>
    <w:p w:rsidR="0091655F" w:rsidRPr="00455D0A" w:rsidRDefault="0091655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C652DC" w:rsidP="00ED61B4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725598">
              <w:rPr>
                <w:sz w:val="24"/>
                <w:szCs w:val="24"/>
              </w:rPr>
              <w:t xml:space="preserve"> de </w:t>
            </w:r>
            <w:r w:rsidR="00ED61B4">
              <w:rPr>
                <w:sz w:val="24"/>
                <w:szCs w:val="24"/>
              </w:rPr>
              <w:t>agosto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B75488" w:rsidP="00CA3C64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A3C6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:00 a 1</w:t>
            </w:r>
            <w:r w:rsidR="00CA3C6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CA3C64" w:rsidP="00F7742E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Huérfanos 740 2° piso</w:t>
            </w:r>
          </w:p>
        </w:tc>
      </w:tr>
    </w:tbl>
    <w:p w:rsidR="00455D0A" w:rsidRPr="009959CE" w:rsidRDefault="00455D0A" w:rsidP="00EE279F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sectPr w:rsidR="00455D0A" w:rsidRPr="009959CE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5F5" w:rsidRDefault="00C125F5" w:rsidP="000C4790">
      <w:pPr>
        <w:spacing w:after="0" w:line="240" w:lineRule="auto"/>
      </w:pPr>
      <w:r>
        <w:separator/>
      </w:r>
    </w:p>
  </w:endnote>
  <w:endnote w:type="continuationSeparator" w:id="0">
    <w:p w:rsidR="00C125F5" w:rsidRDefault="00C125F5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5F5" w:rsidRDefault="00C125F5" w:rsidP="000C4790">
      <w:pPr>
        <w:spacing w:after="0" w:line="240" w:lineRule="auto"/>
      </w:pPr>
      <w:r>
        <w:separator/>
      </w:r>
    </w:p>
  </w:footnote>
  <w:footnote w:type="continuationSeparator" w:id="0">
    <w:p w:rsidR="00C125F5" w:rsidRDefault="00C125F5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6" w:type="dxa"/>
      <w:tblInd w:w="-489" w:type="dxa"/>
      <w:tblLook w:val="01E0" w:firstRow="1" w:lastRow="1" w:firstColumn="1" w:lastColumn="1" w:noHBand="0" w:noVBand="0"/>
    </w:tblPr>
    <w:tblGrid>
      <w:gridCol w:w="10976"/>
    </w:tblGrid>
    <w:tr w:rsidR="00A34CA5" w:rsidRPr="000C4790" w:rsidTr="00B31A7F">
      <w:trPr>
        <w:trHeight w:val="292"/>
      </w:trPr>
      <w:tc>
        <w:tcPr>
          <w:tcW w:w="10976" w:type="dxa"/>
        </w:tcPr>
        <w:p w:rsidR="00A34CA5" w:rsidRPr="000C4790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s-CL"/>
            </w:rPr>
          </w:pPr>
          <w:r w:rsidRPr="000C4790">
            <w:rPr>
              <w:rFonts w:ascii="Arial" w:eastAsia="Times New Roman" w:hAnsi="Arial" w:cs="Arial"/>
              <w:noProof/>
              <w:sz w:val="24"/>
              <w:szCs w:val="24"/>
              <w:lang w:eastAsia="es-CL"/>
            </w:rPr>
            <w:drawing>
              <wp:inline distT="0" distB="0" distL="0" distR="0">
                <wp:extent cx="1839912" cy="212725"/>
                <wp:effectExtent l="19050" t="0" r="7938" b="0"/>
                <wp:docPr id="6" name="Imagen 2" descr="LOGO-CASITA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7" name="Imagen 7" descr="LOGO-CASITA2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9912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4CA5" w:rsidRPr="000C4790" w:rsidTr="00B31A7F">
      <w:trPr>
        <w:trHeight w:val="508"/>
      </w:trPr>
      <w:tc>
        <w:tcPr>
          <w:tcW w:w="10976" w:type="dxa"/>
        </w:tcPr>
        <w:p w:rsidR="00A34CA5" w:rsidRPr="00496772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L"/>
            </w:rPr>
          </w:pPr>
          <w:r w:rsidRPr="00496772">
            <w:rPr>
              <w:rFonts w:eastAsia="Times New Roman" w:cs="Arial"/>
              <w:b/>
              <w:smallCaps/>
              <w:color w:val="000080"/>
              <w:spacing w:val="20"/>
              <w:sz w:val="18"/>
              <w:szCs w:val="18"/>
              <w:lang w:eastAsia="es-CL"/>
            </w:rPr>
            <w:t>División Operaciones y Tecnología</w:t>
          </w:r>
        </w:p>
      </w:tc>
    </w:tr>
  </w:tbl>
  <w:p w:rsidR="00A34CA5" w:rsidRDefault="00A34C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E9B"/>
    <w:multiLevelType w:val="hybridMultilevel"/>
    <w:tmpl w:val="C32CF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27553"/>
    <w:multiLevelType w:val="hybridMultilevel"/>
    <w:tmpl w:val="844E3D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E5F08"/>
    <w:multiLevelType w:val="hybridMultilevel"/>
    <w:tmpl w:val="FC1E8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C354C"/>
    <w:multiLevelType w:val="hybridMultilevel"/>
    <w:tmpl w:val="CFA21F7C"/>
    <w:lvl w:ilvl="0" w:tplc="A4700F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B53E0"/>
    <w:multiLevelType w:val="hybridMultilevel"/>
    <w:tmpl w:val="EC5E58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80179"/>
    <w:multiLevelType w:val="hybridMultilevel"/>
    <w:tmpl w:val="35127A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24FB6"/>
    <w:multiLevelType w:val="hybridMultilevel"/>
    <w:tmpl w:val="5D68DC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1251A"/>
    <w:multiLevelType w:val="hybridMultilevel"/>
    <w:tmpl w:val="047075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 w:val="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34876EFB"/>
    <w:multiLevelType w:val="hybridMultilevel"/>
    <w:tmpl w:val="F0245BF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81C46"/>
    <w:multiLevelType w:val="hybridMultilevel"/>
    <w:tmpl w:val="ADFAF8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03B94"/>
    <w:multiLevelType w:val="hybridMultilevel"/>
    <w:tmpl w:val="49106EAE"/>
    <w:lvl w:ilvl="0" w:tplc="139EEB1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25F3E"/>
    <w:multiLevelType w:val="hybridMultilevel"/>
    <w:tmpl w:val="C7741FAC"/>
    <w:lvl w:ilvl="0" w:tplc="A062775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42602"/>
    <w:multiLevelType w:val="hybridMultilevel"/>
    <w:tmpl w:val="CC5808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0A6FAF"/>
    <w:multiLevelType w:val="hybridMultilevel"/>
    <w:tmpl w:val="D39212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7116D"/>
    <w:multiLevelType w:val="hybridMultilevel"/>
    <w:tmpl w:val="6256DF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25E78"/>
    <w:multiLevelType w:val="hybridMultilevel"/>
    <w:tmpl w:val="1BB8CF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34196"/>
    <w:multiLevelType w:val="hybridMultilevel"/>
    <w:tmpl w:val="AF10A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1E216B"/>
    <w:multiLevelType w:val="hybridMultilevel"/>
    <w:tmpl w:val="44666A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A5502"/>
    <w:multiLevelType w:val="hybridMultilevel"/>
    <w:tmpl w:val="D646B9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3"/>
  </w:num>
  <w:num w:numId="5">
    <w:abstractNumId w:val="20"/>
  </w:num>
  <w:num w:numId="6">
    <w:abstractNumId w:val="17"/>
  </w:num>
  <w:num w:numId="7">
    <w:abstractNumId w:val="19"/>
  </w:num>
  <w:num w:numId="8">
    <w:abstractNumId w:val="8"/>
  </w:num>
  <w:num w:numId="9">
    <w:abstractNumId w:val="12"/>
  </w:num>
  <w:num w:numId="10">
    <w:abstractNumId w:val="11"/>
  </w:num>
  <w:num w:numId="11">
    <w:abstractNumId w:val="0"/>
  </w:num>
  <w:num w:numId="12">
    <w:abstractNumId w:val="13"/>
  </w:num>
  <w:num w:numId="13">
    <w:abstractNumId w:val="4"/>
  </w:num>
  <w:num w:numId="14">
    <w:abstractNumId w:val="14"/>
  </w:num>
  <w:num w:numId="15">
    <w:abstractNumId w:val="16"/>
  </w:num>
  <w:num w:numId="16">
    <w:abstractNumId w:val="1"/>
  </w:num>
  <w:num w:numId="17">
    <w:abstractNumId w:val="6"/>
  </w:num>
  <w:num w:numId="18">
    <w:abstractNumId w:val="9"/>
  </w:num>
  <w:num w:numId="19">
    <w:abstractNumId w:val="5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790"/>
    <w:rsid w:val="00006383"/>
    <w:rsid w:val="00022557"/>
    <w:rsid w:val="00025264"/>
    <w:rsid w:val="0003167A"/>
    <w:rsid w:val="000434AC"/>
    <w:rsid w:val="0005225B"/>
    <w:rsid w:val="000A6B48"/>
    <w:rsid w:val="000C4790"/>
    <w:rsid w:val="000C47C0"/>
    <w:rsid w:val="000C7C34"/>
    <w:rsid w:val="000D275D"/>
    <w:rsid w:val="000D6442"/>
    <w:rsid w:val="000E26E0"/>
    <w:rsid w:val="000F31A8"/>
    <w:rsid w:val="000F3EEC"/>
    <w:rsid w:val="000F5FF9"/>
    <w:rsid w:val="000F6FE7"/>
    <w:rsid w:val="00151143"/>
    <w:rsid w:val="00163857"/>
    <w:rsid w:val="0019620D"/>
    <w:rsid w:val="00197C2A"/>
    <w:rsid w:val="001A6F90"/>
    <w:rsid w:val="001B3E9B"/>
    <w:rsid w:val="002008FD"/>
    <w:rsid w:val="00221347"/>
    <w:rsid w:val="0025464C"/>
    <w:rsid w:val="00256EEA"/>
    <w:rsid w:val="002B030A"/>
    <w:rsid w:val="002B5A69"/>
    <w:rsid w:val="002E6B86"/>
    <w:rsid w:val="00307260"/>
    <w:rsid w:val="00313C4A"/>
    <w:rsid w:val="00333314"/>
    <w:rsid w:val="00362E68"/>
    <w:rsid w:val="00364A23"/>
    <w:rsid w:val="00371320"/>
    <w:rsid w:val="00376A58"/>
    <w:rsid w:val="003A5D01"/>
    <w:rsid w:val="003E6CC7"/>
    <w:rsid w:val="003F1548"/>
    <w:rsid w:val="004036D2"/>
    <w:rsid w:val="00404B48"/>
    <w:rsid w:val="00412ED0"/>
    <w:rsid w:val="004325FE"/>
    <w:rsid w:val="004357EF"/>
    <w:rsid w:val="00455D0A"/>
    <w:rsid w:val="00471347"/>
    <w:rsid w:val="00492249"/>
    <w:rsid w:val="00493C18"/>
    <w:rsid w:val="00495008"/>
    <w:rsid w:val="004955D4"/>
    <w:rsid w:val="00496772"/>
    <w:rsid w:val="004A0F07"/>
    <w:rsid w:val="004E2A14"/>
    <w:rsid w:val="004F00E9"/>
    <w:rsid w:val="004F0401"/>
    <w:rsid w:val="004F5B6E"/>
    <w:rsid w:val="004F7D29"/>
    <w:rsid w:val="0050176C"/>
    <w:rsid w:val="00532D40"/>
    <w:rsid w:val="00541A21"/>
    <w:rsid w:val="0054419F"/>
    <w:rsid w:val="00550878"/>
    <w:rsid w:val="005649B1"/>
    <w:rsid w:val="0058145F"/>
    <w:rsid w:val="005820E2"/>
    <w:rsid w:val="005837FD"/>
    <w:rsid w:val="00593E38"/>
    <w:rsid w:val="00596774"/>
    <w:rsid w:val="005A14EE"/>
    <w:rsid w:val="005C5B40"/>
    <w:rsid w:val="005D5EC0"/>
    <w:rsid w:val="005D7F10"/>
    <w:rsid w:val="00604955"/>
    <w:rsid w:val="00612A1C"/>
    <w:rsid w:val="006345B3"/>
    <w:rsid w:val="00640098"/>
    <w:rsid w:val="006471D4"/>
    <w:rsid w:val="006478C2"/>
    <w:rsid w:val="00685544"/>
    <w:rsid w:val="006A0678"/>
    <w:rsid w:val="006A0DA1"/>
    <w:rsid w:val="006E1A23"/>
    <w:rsid w:val="006F56E8"/>
    <w:rsid w:val="006F58CF"/>
    <w:rsid w:val="00701BD4"/>
    <w:rsid w:val="00722F96"/>
    <w:rsid w:val="00725598"/>
    <w:rsid w:val="00762FD3"/>
    <w:rsid w:val="00767F67"/>
    <w:rsid w:val="00770710"/>
    <w:rsid w:val="00770C6A"/>
    <w:rsid w:val="00780F01"/>
    <w:rsid w:val="00791E30"/>
    <w:rsid w:val="007B1327"/>
    <w:rsid w:val="007C1EDB"/>
    <w:rsid w:val="007D3335"/>
    <w:rsid w:val="007E256C"/>
    <w:rsid w:val="007E72A7"/>
    <w:rsid w:val="007F21F6"/>
    <w:rsid w:val="00817FA4"/>
    <w:rsid w:val="008365EA"/>
    <w:rsid w:val="00864CE5"/>
    <w:rsid w:val="008674A2"/>
    <w:rsid w:val="008C12EB"/>
    <w:rsid w:val="008D2EBB"/>
    <w:rsid w:val="008E682B"/>
    <w:rsid w:val="008F13FB"/>
    <w:rsid w:val="008F38E6"/>
    <w:rsid w:val="008F601D"/>
    <w:rsid w:val="00902A9B"/>
    <w:rsid w:val="0091655F"/>
    <w:rsid w:val="00921EE2"/>
    <w:rsid w:val="00924310"/>
    <w:rsid w:val="0093303D"/>
    <w:rsid w:val="00962E7C"/>
    <w:rsid w:val="00964223"/>
    <w:rsid w:val="0099130F"/>
    <w:rsid w:val="009959CE"/>
    <w:rsid w:val="009A5C1D"/>
    <w:rsid w:val="009B025A"/>
    <w:rsid w:val="009B4ED0"/>
    <w:rsid w:val="009E021F"/>
    <w:rsid w:val="009E6853"/>
    <w:rsid w:val="00A01660"/>
    <w:rsid w:val="00A105C8"/>
    <w:rsid w:val="00A1488D"/>
    <w:rsid w:val="00A34CA5"/>
    <w:rsid w:val="00A50C23"/>
    <w:rsid w:val="00A830CC"/>
    <w:rsid w:val="00A97453"/>
    <w:rsid w:val="00AB7806"/>
    <w:rsid w:val="00AC0127"/>
    <w:rsid w:val="00AC67A1"/>
    <w:rsid w:val="00AE5D7A"/>
    <w:rsid w:val="00AF0E76"/>
    <w:rsid w:val="00AF7DFD"/>
    <w:rsid w:val="00B07739"/>
    <w:rsid w:val="00B11AC9"/>
    <w:rsid w:val="00B14069"/>
    <w:rsid w:val="00B22C35"/>
    <w:rsid w:val="00B31A7F"/>
    <w:rsid w:val="00B34C3C"/>
    <w:rsid w:val="00B537AE"/>
    <w:rsid w:val="00B53B60"/>
    <w:rsid w:val="00B64645"/>
    <w:rsid w:val="00B7227E"/>
    <w:rsid w:val="00B75488"/>
    <w:rsid w:val="00BA3F7D"/>
    <w:rsid w:val="00BD621E"/>
    <w:rsid w:val="00BF745B"/>
    <w:rsid w:val="00C125F5"/>
    <w:rsid w:val="00C16BE3"/>
    <w:rsid w:val="00C4599A"/>
    <w:rsid w:val="00C652DC"/>
    <w:rsid w:val="00C72A8B"/>
    <w:rsid w:val="00CA3C64"/>
    <w:rsid w:val="00CB2B34"/>
    <w:rsid w:val="00CC3859"/>
    <w:rsid w:val="00CC55B0"/>
    <w:rsid w:val="00CE0B8D"/>
    <w:rsid w:val="00D37468"/>
    <w:rsid w:val="00D4628A"/>
    <w:rsid w:val="00D551B2"/>
    <w:rsid w:val="00D812BC"/>
    <w:rsid w:val="00DA652C"/>
    <w:rsid w:val="00DC68BE"/>
    <w:rsid w:val="00DD103D"/>
    <w:rsid w:val="00DD16B2"/>
    <w:rsid w:val="00E071F5"/>
    <w:rsid w:val="00E16249"/>
    <w:rsid w:val="00E23DC7"/>
    <w:rsid w:val="00E4022B"/>
    <w:rsid w:val="00E530F0"/>
    <w:rsid w:val="00E83BD3"/>
    <w:rsid w:val="00E93806"/>
    <w:rsid w:val="00E951B6"/>
    <w:rsid w:val="00E95972"/>
    <w:rsid w:val="00EA7DD8"/>
    <w:rsid w:val="00ED61B4"/>
    <w:rsid w:val="00ED72D5"/>
    <w:rsid w:val="00EE279F"/>
    <w:rsid w:val="00EE4B00"/>
    <w:rsid w:val="00EF1C66"/>
    <w:rsid w:val="00F12DF4"/>
    <w:rsid w:val="00F14B25"/>
    <w:rsid w:val="00F67FE7"/>
    <w:rsid w:val="00F730BE"/>
    <w:rsid w:val="00F7742E"/>
    <w:rsid w:val="00F77FEA"/>
    <w:rsid w:val="00F82119"/>
    <w:rsid w:val="00F96C19"/>
    <w:rsid w:val="00FA7B60"/>
    <w:rsid w:val="00FB5F0B"/>
    <w:rsid w:val="00FC2C75"/>
    <w:rsid w:val="00FF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790"/>
  </w:style>
  <w:style w:type="paragraph" w:styleId="Piedepgina">
    <w:name w:val="footer"/>
    <w:basedOn w:val="Normal"/>
    <w:link w:val="Piedepgina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  <w:style w:type="paragraph" w:styleId="Sinespaciado">
    <w:name w:val="No Spacing"/>
    <w:uiPriority w:val="1"/>
    <w:qFormat/>
    <w:rsid w:val="00B34C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3A8AE-F316-46B2-898A-472D318E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mespinozal</dc:creator>
  <cp:keywords/>
  <dc:description/>
  <cp:lastModifiedBy>mriosr</cp:lastModifiedBy>
  <cp:revision>38</cp:revision>
  <cp:lastPrinted>2013-04-11T17:35:00Z</cp:lastPrinted>
  <dcterms:created xsi:type="dcterms:W3CDTF">2013-06-24T14:07:00Z</dcterms:created>
  <dcterms:modified xsi:type="dcterms:W3CDTF">2013-09-05T18:04:00Z</dcterms:modified>
</cp:coreProperties>
</file>