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AC062" w14:textId="77777777" w:rsidR="004144E0" w:rsidRDefault="004144E0" w:rsidP="004144E0">
      <w:pPr>
        <w:pStyle w:val="NormalWeb"/>
        <w:spacing w:before="0" w:beforeAutospacing="0"/>
        <w:rPr>
          <w:rFonts w:ascii="Arial" w:hAnsi="Arial" w:cs="Arial"/>
          <w:color w:val="495057"/>
          <w:sz w:val="23"/>
          <w:szCs w:val="23"/>
        </w:rPr>
      </w:pPr>
      <w:r>
        <w:rPr>
          <w:rFonts w:ascii="Arial" w:hAnsi="Arial" w:cs="Arial"/>
          <w:color w:val="495057"/>
          <w:sz w:val="23"/>
          <w:szCs w:val="23"/>
        </w:rPr>
        <w:t xml:space="preserve">Como Hosting nos decantamos por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TiDB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Cloud que permite un almacenamiento de bases MySQL de hasta 5 Gb. en la versión Free.</w:t>
      </w:r>
      <w:r>
        <w:rPr>
          <w:rFonts w:ascii="Arial" w:hAnsi="Arial" w:cs="Arial"/>
          <w:color w:val="495057"/>
          <w:sz w:val="23"/>
          <w:szCs w:val="23"/>
        </w:rPr>
        <w:br/>
        <w:t>Luego de una extensa depuración del diseño de la base, tablas y demás.</w:t>
      </w:r>
      <w:r>
        <w:rPr>
          <w:rFonts w:ascii="Arial" w:hAnsi="Arial" w:cs="Arial"/>
          <w:color w:val="495057"/>
          <w:sz w:val="23"/>
          <w:szCs w:val="23"/>
        </w:rPr>
        <w:br/>
        <w:t>Esta desplegada en </w: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</w:r>
      <w:r w:rsidRPr="004144E0">
        <w:rPr>
          <w:rFonts w:ascii="Arial" w:hAnsi="Arial" w:cs="Arial"/>
          <w:noProof/>
          <w:color w:val="495057"/>
          <w:sz w:val="23"/>
          <w:szCs w:val="23"/>
        </w:rPr>
        <w:drawing>
          <wp:inline distT="0" distB="0" distL="0" distR="0" wp14:anchorId="2FE5CB3E" wp14:editId="1DB2D0B5">
            <wp:extent cx="5400040" cy="47459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95057"/>
          <w:sz w:val="23"/>
          <w:szCs w:val="23"/>
        </w:rPr>
        <mc:AlternateContent>
          <mc:Choice Requires="wps">
            <w:drawing>
              <wp:inline distT="0" distB="0" distL="0" distR="0" wp14:anchorId="58D3DF56" wp14:editId="532BCA6C">
                <wp:extent cx="304800" cy="3048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00207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7I8AEAAMYDAAAOAAAAZHJzL2Uyb0RvYy54bWysU9uO0zAQfUfiHyy/06QXYImarla7WoS0&#10;wIplP2DqOIlF4jFjt2n5G76FH2PstKW7vCFerLnlzJkzk+Xlru/EVpM3aEs5neRSaKuwMrYp5ePX&#10;21cXUvgAtoIOrS7lXnt5uXr5Yjm4Qs+wxa7SJBjE+mJwpWxDcEWWedXqHvwEnbacrJF6COxSk1UE&#10;A6P3XTbL8zfZgFQ5QqW95+jNmJSrhF/XWoXPde11EF0pmVtIL6V3Hd9stYSiIXCtUQca8A8sejCW&#10;m56gbiCA2JD5C6o3itBjHSYK+wzr2iidZuBppvmzaR5acDrNwuJ4d5LJ/z9Y9Wl7T8JUpZxLYaHn&#10;FX1h0X79tM2mQzGPAg3OF1z34O4pjujdHapvXli8bsE2+so7/oKXzwDHEBEOrYaKmU4jRPYEIzqe&#10;0cR6+IgVt4RNwCTfrqY+9mBhxC5taX/akt4FoTg4zxcXOe9Scepgxw5QHD925MN7jb2IRimJ2SVw&#10;2N75MJYeS2Ivi7em6zgORWefBBgzRhL5yHeUYo3VnrkTjsfEx89Gi/RDioEPqZT++wZIS9F9sDz/&#10;u+liES8vOYvXb2fs0HlmfZ4BqxiqlEGK0bwO47VuHJmmTTKPHK9Ys9qkeaKeI6sDWT6WpMjhsOM1&#10;nvup6s/vt/oN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Vf0Oy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495057"/>
          <w:sz w:val="23"/>
          <w:szCs w:val="23"/>
        </w:rPr>
        <mc:AlternateContent>
          <mc:Choice Requires="wps">
            <w:drawing>
              <wp:inline distT="0" distB="0" distL="0" distR="0" wp14:anchorId="38B951EE" wp14:editId="3888DDBF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53644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9k8AEAAMY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6ksNDz&#10;ij6zaI8/bTN0KBZRoNH5guse3D3FEb27Q/XNC4vXLdhGX3nHX/DyGeAYIsKx1VAx03mEyJ5gRMcz&#10;mtiMH7DiljAETPLtaupjDxZG7NKW9qct6V0QioMv8+VFzrtUnDrYsQMUx48d+fBOYy+iUUpidgkc&#10;tnc+TKXHktjL4q3pOo5D0dknAcaMkUQ+8p2k2GC1Z+6E0zHx8bPRIv2QYuRDKqX/PgBpKbr3lud/&#10;O18u4+UlZ/nqzYIdOs9szjNgFUOVMkgxmddhutbBkWnaJPPE8Yo1q02aJ+o5sTqQ5WNJihwOO17j&#10;uZ+qfv9+6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N0vZ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  <w:t xml:space="preserve">La estimación teórica para el </w:t>
      </w:r>
      <w:r>
        <w:rPr>
          <w:rFonts w:ascii="Arial" w:hAnsi="Arial" w:cs="Arial"/>
          <w:color w:val="495057"/>
          <w:sz w:val="23"/>
          <w:szCs w:val="23"/>
        </w:rPr>
        <w:t>ú</w:t>
      </w:r>
      <w:r>
        <w:rPr>
          <w:rFonts w:ascii="Arial" w:hAnsi="Arial" w:cs="Arial"/>
          <w:color w:val="495057"/>
          <w:sz w:val="23"/>
          <w:szCs w:val="23"/>
        </w:rPr>
        <w:t>ltimo trimestre fue un poco inferior al real.</w:t>
      </w:r>
      <w:r>
        <w:rPr>
          <w:rFonts w:ascii="Arial" w:hAnsi="Arial" w:cs="Arial"/>
          <w:color w:val="495057"/>
          <w:sz w:val="23"/>
          <w:szCs w:val="23"/>
        </w:rPr>
        <w:br/>
        <w:t>Se está utilizando 2.28 Gb.</w: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  <w:t xml:space="preserve">El despliegue se hizo en el Hosting Render que nos permite utilizar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NodeJs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para la API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Rest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y conectarnos con 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TiDB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Cloud.</w: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  <w:t xml:space="preserve">Ambos sitios, para disminuir latencias fueron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hosteados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en Virginia US East</w: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  <w:t xml:space="preserve">URL del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Deploy</w:t>
      </w:r>
      <w:proofErr w:type="spellEnd"/>
      <w:r>
        <w:rPr>
          <w:rFonts w:ascii="Arial" w:hAnsi="Arial" w:cs="Arial"/>
          <w:color w:val="495057"/>
          <w:sz w:val="23"/>
          <w:szCs w:val="23"/>
        </w:rPr>
        <w:t>: </w:t>
      </w:r>
      <w:hyperlink r:id="rId5" w:history="1">
        <w:r w:rsidRPr="00F26F4E">
          <w:rPr>
            <w:rStyle w:val="Hipervnculo"/>
            <w:rFonts w:ascii="Arial" w:hAnsi="Arial" w:cs="Arial"/>
            <w:sz w:val="23"/>
            <w:szCs w:val="23"/>
          </w:rPr>
          <w:t>https://pp4-comex.onrender.com/impo.html</w:t>
        </w:r>
      </w:hyperlink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</w:r>
      <w:r w:rsidRPr="004144E0">
        <w:rPr>
          <w:rFonts w:ascii="Arial" w:hAnsi="Arial" w:cs="Arial"/>
          <w:color w:val="495057"/>
          <w:sz w:val="23"/>
          <w:szCs w:val="23"/>
        </w:rPr>
        <w:lastRenderedPageBreak/>
        <w:drawing>
          <wp:inline distT="0" distB="0" distL="0" distR="0" wp14:anchorId="75AFAA65" wp14:editId="6F28E5DD">
            <wp:extent cx="5400040" cy="28282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  <w:t xml:space="preserve">Ahora estamos abocados a la parte de implementar el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login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de usuarios, permisos y el empleo de Tokens con la biblioteca JSW.</w: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  <w:t>En los pasos siguientes definiremos con el Cliente los objetivos primarios para ir moldeando la parte de un Front más amigable para el usuario, (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users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Friendly</w:t>
      </w:r>
      <w:proofErr w:type="spellEnd"/>
      <w:r>
        <w:rPr>
          <w:rFonts w:ascii="Arial" w:hAnsi="Arial" w:cs="Arial"/>
          <w:color w:val="495057"/>
          <w:sz w:val="23"/>
          <w:szCs w:val="23"/>
        </w:rPr>
        <w:t>).</w:t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color w:val="495057"/>
          <w:sz w:val="23"/>
          <w:szCs w:val="23"/>
        </w:rPr>
        <w:br/>
      </w:r>
      <w:r>
        <w:rPr>
          <w:rFonts w:ascii="Arial" w:hAnsi="Arial" w:cs="Arial"/>
          <w:noProof/>
          <w:color w:val="495057"/>
          <w:sz w:val="23"/>
          <w:szCs w:val="23"/>
        </w:rPr>
        <mc:AlternateContent>
          <mc:Choice Requires="wps">
            <w:drawing>
              <wp:inline distT="0" distB="0" distL="0" distR="0" wp14:anchorId="0F07552F" wp14:editId="275BB654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D5BE1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14:paraId="6AA33103" w14:textId="481E1D53" w:rsidR="004144E0" w:rsidRDefault="004144E0" w:rsidP="004144E0">
      <w:pPr>
        <w:pStyle w:val="NormalWeb"/>
        <w:spacing w:before="0" w:beforeAutospacing="0"/>
        <w:rPr>
          <w:rFonts w:ascii="Arial" w:hAnsi="Arial" w:cs="Arial"/>
          <w:color w:val="495057"/>
          <w:sz w:val="23"/>
          <w:szCs w:val="23"/>
        </w:rPr>
      </w:pPr>
      <w:proofErr w:type="spellStart"/>
      <w:r>
        <w:rPr>
          <w:rFonts w:ascii="Arial" w:hAnsi="Arial" w:cs="Arial"/>
          <w:color w:val="495057"/>
          <w:sz w:val="23"/>
          <w:szCs w:val="23"/>
        </w:rPr>
        <w:t>Elicitar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más detalladamente en nuevas reuniones los requerimientos del cliente nos va a permitir definir los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End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Point de la API y en forma secundaria definir las estrategias de optimización.</w:t>
      </w:r>
      <w:r>
        <w:rPr>
          <w:rFonts w:ascii="Arial" w:hAnsi="Arial" w:cs="Arial"/>
          <w:color w:val="495057"/>
          <w:sz w:val="23"/>
          <w:szCs w:val="23"/>
        </w:rPr>
        <w:br/>
        <w:t>El proveedor de Datos en la nube tiene limitaciones en tamaño y consumo algorítmico propio de la complejidad de las consultas utilizadas.</w:t>
      </w:r>
      <w:r>
        <w:rPr>
          <w:rFonts w:ascii="Arial" w:hAnsi="Arial" w:cs="Arial"/>
          <w:color w:val="495057"/>
          <w:sz w:val="23"/>
          <w:szCs w:val="23"/>
        </w:rPr>
        <w:br/>
        <w:t xml:space="preserve">Así que se evaluara si nos apoyamos en que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TiDB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Cloud resuelva las consultas o se implementan </w:t>
      </w:r>
      <w:r w:rsidR="006A3B25">
        <w:rPr>
          <w:rFonts w:ascii="Arial" w:hAnsi="Arial" w:cs="Arial"/>
          <w:color w:val="495057"/>
          <w:sz w:val="23"/>
          <w:szCs w:val="23"/>
        </w:rPr>
        <w:t>í</w:t>
      </w:r>
      <w:r>
        <w:rPr>
          <w:rFonts w:ascii="Arial" w:hAnsi="Arial" w:cs="Arial"/>
          <w:color w:val="495057"/>
          <w:sz w:val="23"/>
          <w:szCs w:val="23"/>
        </w:rPr>
        <w:t xml:space="preserve">ndices, (mayor uso de espacio), y estrategias de resolución en el Motor cuando </w:t>
      </w:r>
      <w:proofErr w:type="spellStart"/>
      <w:r>
        <w:rPr>
          <w:rFonts w:ascii="Arial" w:hAnsi="Arial" w:cs="Arial"/>
          <w:color w:val="495057"/>
          <w:sz w:val="23"/>
          <w:szCs w:val="23"/>
        </w:rPr>
        <w:t>parsea</w:t>
      </w:r>
      <w:proofErr w:type="spellEnd"/>
      <w:r>
        <w:rPr>
          <w:rFonts w:ascii="Arial" w:hAnsi="Arial" w:cs="Arial"/>
          <w:color w:val="495057"/>
          <w:sz w:val="23"/>
          <w:szCs w:val="23"/>
        </w:rPr>
        <w:t xml:space="preserve"> las consultas.</w:t>
      </w:r>
    </w:p>
    <w:p w14:paraId="119C2FE3" w14:textId="77777777" w:rsidR="004144E0" w:rsidRDefault="004144E0"/>
    <w:sectPr w:rsidR="00414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E0"/>
    <w:rsid w:val="004144E0"/>
    <w:rsid w:val="006A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DF347"/>
  <w15:chartTrackingRefBased/>
  <w15:docId w15:val="{B4C6B3DF-24CA-4D8B-BCC2-E31E1B2F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4144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4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6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pp4-comex.onrender.com/impo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Galván</dc:creator>
  <cp:keywords/>
  <dc:description/>
  <cp:lastModifiedBy>Sergio Galván</cp:lastModifiedBy>
  <cp:revision>4</cp:revision>
  <dcterms:created xsi:type="dcterms:W3CDTF">2026-10-14T00:10:00Z</dcterms:created>
  <dcterms:modified xsi:type="dcterms:W3CDTF">2026-10-14T00:12:00Z</dcterms:modified>
</cp:coreProperties>
</file>