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Manual Técnico · Estadísticas de importación (ARCA)</w:t>
      </w:r>
    </w:p>
    <w:p>
      <w:pPr/>
      <w:r>
        <w:t xml:space="preserve">Oct 30, 2026</w:t>
      </w:r>
      <w:r>
        <w:t xml:space="preserve"> · </w:t>
      </w:r>
      <w:r>
        <w:t xml:space="preserve">@Sergio</w:t>
      </w:r>
    </w:p>
    <w:p>
      <w:pPr>
        <w:pStyle w:val="Heading2"/>
      </w:pPr>
      <w:r>
        <w:t xml:space="preserve">1. Introducción general</w:t>
      </w:r>
    </w:p>
    <w:p>
      <w:pPr/>
      <w:r>
        <w:t xml:space="preserve">El sistema carga los archivos mensuales de importaciones que publica ARCA, los valida, los guarda en una base MySQL y los muestra en una aplicación web con consultas, filtros, gráficos y exportación a CSV. El acceso es con usuario y clave; los administradores, además, gestionan usuarios y ejecutan SQL de sólo lectura.</w:t>
      </w:r>
    </w:p>
    <w:p>
      <w:pPr/>
      <w:r>
        <w:t xml:space="preserve">Este manual está dirigido a quien tenga que instalar, mantener o seguir desarrollando el sistema. Con él se puede levantar una copia local completa, correr las pruebas y publicar una versión nueva sin depender del equipo original.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91"/>
        <w:gridCol w:w="6268"/>
      </w:tblGrid>
      <w:tr>
        <w:trPr>
          <w:tblHeader/>
        </w:trPr>
        <w:tc>
          <w:tcPr>
            <w:tcW w:w="3091" w:type="dxa"/>
            <w:shd w:val="clear" w:color="auto" w:fill="F2F2F2"/>
          </w:tcPr>
          <w:p>
            <w:pPr/>
            <w:r>
              <w:t xml:space="preserve">Dato</w:t>
            </w:r>
          </w:p>
        </w:tc>
        <w:tc>
          <w:tcPr>
            <w:tcW w:w="6268" w:type="dxa"/>
            <w:shd w:val="clear" w:color="auto" w:fill="F2F2F2"/>
          </w:tcPr>
          <w:p>
            <w:pPr/>
            <w:r>
              <w:t xml:space="preserve">Valor</w:t>
            </w:r>
          </w:p>
        </w:tc>
      </w:tr>
      <w:tr>
        <w:tc>
          <w:tcPr>
            <w:tcW w:w="3091" w:type="dxa"/>
          </w:tcPr>
          <w:p>
            <w:pPr/>
            <w:r>
              <w:t xml:space="preserve">Repositorio</w:t>
            </w:r>
          </w:p>
        </w:tc>
        <w:tc>
          <w:tcPr>
            <w:tcW w:w="6268" w:type="dxa"/>
          </w:tcPr>
          <w:p>
            <w:pPr/>
            <w:hyperlink r:id="rId3" w:history="1">
              <w:r>
                <w:rPr>
                  <w:rStyle w:val="Hyperlink"/>
                </w:rPr>
                <w:t xml:space="preserve">github.com/SergioDanielGalvan/PP4-ProyectoFinal</w:t>
              </w:r>
            </w:hyperlink>
            <w:r>
              <w:t xml:space="preserve"> (rama </w:t>
            </w:r>
            <w:r>
              <w:rPr>
                <w:rStyle w:val="CodeChar"/>
              </w:rPr>
              <w:t xml:space="preserve">main</w:t>
            </w:r>
            <w:r>
              <w:t xml:space="preserve">)</w:t>
            </w:r>
          </w:p>
        </w:tc>
      </w:tr>
      <w:tr>
        <w:tc>
          <w:tcPr>
            <w:tcW w:w="3091" w:type="dxa"/>
          </w:tcPr>
          <w:p>
            <w:pPr/>
            <w:r>
              <w:t xml:space="preserve">Aplicación publicada</w:t>
            </w:r>
          </w:p>
        </w:tc>
        <w:tc>
          <w:tcPr>
            <w:tcW w:w="6268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pp4-comex.onrender.com/impo.html</w:t>
              </w:r>
            </w:hyperlink>
          </w:p>
        </w:tc>
      </w:tr>
      <w:tr>
        <w:tc>
          <w:tcPr>
            <w:tcW w:w="3091" w:type="dxa"/>
          </w:tcPr>
          <w:p>
            <w:pPr/>
            <w:r>
              <w:t xml:space="preserve">Datos cargados</w:t>
            </w:r>
          </w:p>
        </w:tc>
        <w:tc>
          <w:tcPr>
            <w:tcW w:w="6268" w:type="dxa"/>
          </w:tcPr>
          <w:p>
            <w:pPr/>
            <w:r>
              <w:t xml:space="preserve">Julio a septiembre de 2026: 199.261 despachos, 1.605.998 ítems, 23,5 millones de líneas de liquidación</w:t>
            </w:r>
          </w:p>
        </w:tc>
      </w:tr>
      <w:tr>
        <w:tc>
          <w:tcPr>
            <w:tcW w:w="3091" w:type="dxa"/>
          </w:tcPr>
          <w:p>
            <w:pPr/>
            <w:r>
              <w:t xml:space="preserve">Equipo</w:t>
            </w:r>
          </w:p>
        </w:tc>
        <w:tc>
          <w:tcPr>
            <w:tcW w:w="6268" w:type="dxa"/>
          </w:tcPr>
          <w:p>
            <w:pPr/>
            <w:r>
              <w:t xml:space="preserve">Sergio Daniel Galvan (back end, datos y despliegue), Alejandro Rodríguez (front end e interfaz), Anabel Perez Bemporat (cliente, despachante de aduana)</w:t>
            </w:r>
          </w:p>
        </w:tc>
      </w:tr>
    </w:tbl>
    <w:p>
      <w:pPr/>
      <w:r>
        <w:rPr>
          <w:b/>
          <w:bCs/>
        </w:rPr>
        <w:t xml:space="preserve">Alcance.</w:t>
      </w:r>
      <w:r>
        <w:t xml:space="preserve"> Incluye la carga mensual desde el ZIP de ARCA y el KIT (tablas de códigos en Access), la copia a la nube, la API REST, la página de consulta y la administración de usuarios. No incluye exportaciones ni la carga automática: el administrador descarga el archivo de ARCA y corre la carga a mano una vez por mes.</w:t>
      </w:r>
    </w:p>
    <w:p>
      <w:pPr>
        <w:pStyle w:val="Heading2"/>
      </w:pPr>
      <w:r>
        <w:t xml:space="preserve">2. Arquitectura del sistema</w:t>
      </w:r>
    </w:p>
    <w:p>
      <w:pPr/>
      <w:r>
        <w:t xml:space="preserve">El sistema separa la carga, que corre en un servidor local, de la consulta, que corre en la nube. El administrador procesa cada mes en MariaDB y lo copia a TiDB Cloud; los usuarios consultan sólo la nube a través de la API publicada en Render.</w:t>
      </w:r>
    </w:p>
    <w:p>
      <w:pPr/>
      <w:r>
        <w:drawing>
          <wp:inline distT="0" distB="0" distL="0" distR="0">
            <wp:extent cx="5486400" cy="2881992"/>
            <wp:docPr id="1" name="image1" descr="arquitectura · carga local, consulta en la nub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quitectura · carga local, consulta en la nub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arquitectura · carga local, consulta en la nube</w:t>
      </w:r>
    </w:p>
    <w:p>
      <w:pPr/>
      <w:r>
        <w:t xml:space="preserve">La API sigue un modelo </w:t>
      </w:r>
      <w:r>
        <w:rPr>
          <w:b/>
          <w:bCs/>
        </w:rPr>
        <w:t xml:space="preserve">por capas</w:t>
      </w:r>
      <w:r>
        <w:t xml:space="preserve"> (rutas → middleware → controladores → modelos → base), con el estilo de un MVC sin vistas del lado del servidor: el front es una página estática que consume la API en JSON.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72"/>
        <w:gridCol w:w="4152"/>
        <w:gridCol w:w="2636"/>
      </w:tblGrid>
      <w:tr>
        <w:trPr>
          <w:tblHeader/>
        </w:trPr>
        <w:tc>
          <w:tcPr>
            <w:tcW w:w="2572" w:type="dxa"/>
            <w:shd w:val="clear" w:color="auto" w:fill="F2F2F2"/>
          </w:tcPr>
          <w:p>
            <w:pPr/>
            <w:r>
              <w:t xml:space="preserve">Capa</w:t>
            </w:r>
          </w:p>
        </w:tc>
        <w:tc>
          <w:tcPr>
            <w:tcW w:w="4152" w:type="dxa"/>
            <w:shd w:val="clear" w:color="auto" w:fill="F2F2F2"/>
          </w:tcPr>
          <w:p>
            <w:pPr/>
            <w:r>
              <w:t xml:space="preserve">Responsabilidad</w:t>
            </w:r>
          </w:p>
        </w:tc>
        <w:tc>
          <w:tcPr>
            <w:tcW w:w="2636" w:type="dxa"/>
            <w:shd w:val="clear" w:color="auto" w:fill="F2F2F2"/>
          </w:tcPr>
          <w:p>
            <w:pPr/>
            <w:r>
              <w:t xml:space="preserve">Carpeta</w:t>
            </w:r>
          </w:p>
        </w:tc>
      </w:tr>
      <w:tr>
        <w:tc>
          <w:tcPr>
            <w:tcW w:w="2572" w:type="dxa"/>
          </w:tcPr>
          <w:p>
            <w:pPr/>
            <w:r>
              <w:t xml:space="preserve">Presentación</w:t>
            </w:r>
          </w:p>
        </w:tc>
        <w:tc>
          <w:tcPr>
            <w:tcW w:w="4152" w:type="dxa"/>
          </w:tcPr>
          <w:p>
            <w:pPr/>
            <w:r>
              <w:t xml:space="preserve">Pestañas, formularios, tablas, gráficos, login</w:t>
            </w:r>
          </w:p>
        </w:tc>
        <w:tc>
          <w:tcPr>
            <w:tcW w:w="2636" w:type="dxa"/>
          </w:tcPr>
          <w:p>
            <w:pPr/>
            <w:r>
              <w:rPr>
                <w:rStyle w:val="CodeChar"/>
              </w:rPr>
              <w:t xml:space="preserve">api/public/</w:t>
            </w:r>
          </w:p>
        </w:tc>
      </w:tr>
      <w:tr>
        <w:tc>
          <w:tcPr>
            <w:tcW w:w="2572" w:type="dxa"/>
          </w:tcPr>
          <w:p>
            <w:pPr/>
            <w:r>
              <w:t xml:space="preserve">Rutas</w:t>
            </w:r>
          </w:p>
        </w:tc>
        <w:tc>
          <w:tcPr>
            <w:tcW w:w="4152" w:type="dxa"/>
          </w:tcPr>
          <w:p>
            <w:pPr/>
            <w:r>
              <w:t xml:space="preserve">Asocia cada URL y método HTTP a un controlador y a sus controles de acceso</w:t>
            </w:r>
          </w:p>
        </w:tc>
        <w:tc>
          <w:tcPr>
            <w:tcW w:w="2636" w:type="dxa"/>
          </w:tcPr>
          <w:p>
            <w:pPr/>
            <w:r>
              <w:rPr>
                <w:rStyle w:val="CodeChar"/>
              </w:rPr>
              <w:t xml:space="preserve">api/src/routes/</w:t>
            </w:r>
          </w:p>
        </w:tc>
      </w:tr>
      <w:tr>
        <w:tc>
          <w:tcPr>
            <w:tcW w:w="2572" w:type="dxa"/>
          </w:tcPr>
          <w:p>
            <w:pPr/>
            <w:r>
              <w:t xml:space="preserve">Middleware</w:t>
            </w:r>
          </w:p>
        </w:tc>
        <w:tc>
          <w:tcPr>
            <w:tcW w:w="4152" w:type="dxa"/>
          </w:tcPr>
          <w:p>
            <w:pPr/>
            <w:r>
              <w:t xml:space="preserve">Token JWT, roles, errores</w:t>
            </w:r>
          </w:p>
        </w:tc>
        <w:tc>
          <w:tcPr>
            <w:tcW w:w="2636" w:type="dxa"/>
          </w:tcPr>
          <w:p>
            <w:pPr/>
            <w:r>
              <w:rPr>
                <w:rStyle w:val="CodeChar"/>
              </w:rPr>
              <w:t xml:space="preserve">api/src/middlewares/</w:t>
            </w:r>
          </w:p>
        </w:tc>
      </w:tr>
      <w:tr>
        <w:tc>
          <w:tcPr>
            <w:tcW w:w="2572" w:type="dxa"/>
          </w:tcPr>
          <w:p>
            <w:pPr/>
            <w:r>
              <w:t xml:space="preserve">Controladores</w:t>
            </w:r>
          </w:p>
        </w:tc>
        <w:tc>
          <w:tcPr>
            <w:tcW w:w="4152" w:type="dxa"/>
          </w:tcPr>
          <w:p>
            <w:pPr/>
            <w:r>
              <w:t xml:space="preserve">Leen y validan los parámetros, arman la respuesta</w:t>
            </w:r>
          </w:p>
        </w:tc>
        <w:tc>
          <w:tcPr>
            <w:tcW w:w="2636" w:type="dxa"/>
          </w:tcPr>
          <w:p>
            <w:pPr/>
            <w:r>
              <w:rPr>
                <w:rStyle w:val="CodeChar"/>
              </w:rPr>
              <w:t xml:space="preserve">api/src/controllers/</w:t>
            </w:r>
          </w:p>
        </w:tc>
      </w:tr>
      <w:tr>
        <w:tc>
          <w:tcPr>
            <w:tcW w:w="2572" w:type="dxa"/>
          </w:tcPr>
          <w:p>
            <w:pPr/>
            <w:r>
              <w:t xml:space="preserve">Modelos</w:t>
            </w:r>
          </w:p>
        </w:tc>
        <w:tc>
          <w:tcPr>
            <w:tcW w:w="4152" w:type="dxa"/>
          </w:tcPr>
          <w:p>
            <w:pPr/>
            <w:r>
              <w:t xml:space="preserve">Consultas SQL parametrizadas, caché</w:t>
            </w:r>
          </w:p>
        </w:tc>
        <w:tc>
          <w:tcPr>
            <w:tcW w:w="2636" w:type="dxa"/>
          </w:tcPr>
          <w:p>
            <w:pPr/>
            <w:r>
              <w:rPr>
                <w:rStyle w:val="CodeChar"/>
              </w:rPr>
              <w:t xml:space="preserve">api/src/models/</w:t>
            </w:r>
          </w:p>
        </w:tc>
      </w:tr>
      <w:tr>
        <w:tc>
          <w:tcPr>
            <w:tcW w:w="2572" w:type="dxa"/>
          </w:tcPr>
          <w:p>
            <w:pPr/>
            <w:r>
              <w:t xml:space="preserve">Datos</w:t>
            </w:r>
          </w:p>
        </w:tc>
        <w:tc>
          <w:tcPr>
            <w:tcW w:w="4152" w:type="dxa"/>
          </w:tcPr>
          <w:p>
            <w:pPr/>
            <w:r>
              <w:t xml:space="preserve">MariaDB 10.4 (local) y TiDB Cloud (producción), compatibles con MySQL</w:t>
            </w:r>
          </w:p>
        </w:tc>
        <w:tc>
          <w:tcPr>
            <w:tcW w:w="2636" w:type="dxa"/>
          </w:tcPr>
          <w:p>
            <w:pPr/>
            <w:r>
              <w:rPr>
                <w:rStyle w:val="CodeChar"/>
              </w:rPr>
              <w:t xml:space="preserve">db/</w:t>
            </w:r>
          </w:p>
        </w:tc>
      </w:tr>
      <w:tr>
        <w:tc>
          <w:tcPr>
            <w:tcW w:w="2572" w:type="dxa"/>
          </w:tcPr>
          <w:p>
            <w:pPr/>
            <w:r>
              <w:t xml:space="preserve">Carga (proceso aparte)</w:t>
            </w:r>
          </w:p>
        </w:tc>
        <w:tc>
          <w:tcPr>
            <w:tcW w:w="4152" w:type="dxa"/>
          </w:tcPr>
          <w:p>
            <w:pPr/>
            <w:r>
              <w:t xml:space="preserve">Lee el ZIP y el KIT, valida, carga y copia a la nube</w:t>
            </w:r>
          </w:p>
        </w:tc>
        <w:tc>
          <w:tcPr>
            <w:tcW w:w="2636" w:type="dxa"/>
          </w:tcPr>
          <w:p>
            <w:pPr/>
            <w:r>
              <w:rPr>
                <w:rStyle w:val="CodeChar"/>
              </w:rPr>
              <w:t xml:space="preserve">carga/</w:t>
            </w:r>
          </w:p>
        </w:tc>
      </w:tr>
    </w:tbl>
    <w:p>
      <w:pPr>
        <w:pStyle w:val="Heading3"/>
      </w:pPr>
      <w:r>
        <w:t xml:space="preserve">Tecnologías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05"/>
        <w:gridCol w:w="6454"/>
      </w:tblGrid>
      <w:tr>
        <w:trPr>
          <w:tblHeader/>
        </w:trPr>
        <w:tc>
          <w:tcPr>
            <w:tcW w:w="2905" w:type="dxa"/>
            <w:shd w:val="clear" w:color="auto" w:fill="F2F2F2"/>
          </w:tcPr>
          <w:p>
            <w:pPr/>
            <w:r>
              <w:t xml:space="preserve">Uso</w:t>
            </w:r>
          </w:p>
        </w:tc>
        <w:tc>
          <w:tcPr>
            <w:tcW w:w="6454" w:type="dxa"/>
            <w:shd w:val="clear" w:color="auto" w:fill="F2F2F2"/>
          </w:tcPr>
          <w:p>
            <w:pPr/>
            <w:r>
              <w:t xml:space="preserve">Tecnología y versión</w:t>
            </w:r>
          </w:p>
        </w:tc>
      </w:tr>
      <w:tr>
        <w:tc>
          <w:tcPr>
            <w:tcW w:w="2905" w:type="dxa"/>
          </w:tcPr>
          <w:p>
            <w:pPr/>
            <w:r>
              <w:t xml:space="preserve">Lenguaje y entorno</w:t>
            </w:r>
          </w:p>
        </w:tc>
        <w:tc>
          <w:tcPr>
            <w:tcW w:w="6454" w:type="dxa"/>
          </w:tcPr>
          <w:p>
            <w:pPr/>
            <w:r>
              <w:t xml:space="preserve">JavaScript, Node.js 18 o superior (22 o superior para las pruebas)</w:t>
            </w:r>
          </w:p>
        </w:tc>
      </w:tr>
      <w:tr>
        <w:tc>
          <w:tcPr>
            <w:tcW w:w="2905" w:type="dxa"/>
          </w:tcPr>
          <w:p>
            <w:pPr/>
            <w:r>
              <w:t xml:space="preserve">API</w:t>
            </w:r>
          </w:p>
        </w:tc>
        <w:tc>
          <w:tcPr>
            <w:tcW w:w="6454" w:type="dxa"/>
          </w:tcPr>
          <w:p>
            <w:pPr/>
            <w:r>
              <w:t xml:space="preserve">Express 4.21, mysql2 3.11, jsonwebtoken 9 (JWT HS256), bcryptjs 2.4, dotenv 16</w:t>
            </w:r>
          </w:p>
        </w:tc>
      </w:tr>
      <w:tr>
        <w:tc>
          <w:tcPr>
            <w:tcW w:w="2905" w:type="dxa"/>
          </w:tcPr>
          <w:p>
            <w:pPr/>
            <w:r>
              <w:t xml:space="preserve">Carga</w:t>
            </w:r>
          </w:p>
        </w:tc>
        <w:tc>
          <w:tcPr>
            <w:tcW w:w="6454" w:type="dxa"/>
          </w:tcPr>
          <w:p>
            <w:pPr/>
            <w:r>
              <w:t xml:space="preserve">mdb-reader 3.2 (lee el .mdb sin Access), yauzl 3.4 (lee el ZIP sin descomprimirlo)</w:t>
            </w:r>
          </w:p>
        </w:tc>
      </w:tr>
      <w:tr>
        <w:tc>
          <w:tcPr>
            <w:tcW w:w="2905" w:type="dxa"/>
          </w:tcPr>
          <w:p>
            <w:pPr/>
            <w:r>
              <w:t xml:space="preserve">Front</w:t>
            </w:r>
          </w:p>
        </w:tc>
        <w:tc>
          <w:tcPr>
            <w:tcW w:w="6454" w:type="dxa"/>
          </w:tcPr>
          <w:p>
            <w:pPr/>
            <w:r>
              <w:t xml:space="preserve">HTML5, CSS3, JavaScript, Bootstrap 5.3.3, Bootstrap Icons 1.11.3, Chart.js 4.4.1</w:t>
            </w:r>
          </w:p>
        </w:tc>
      </w:tr>
      <w:tr>
        <w:tc>
          <w:tcPr>
            <w:tcW w:w="2905" w:type="dxa"/>
          </w:tcPr>
          <w:p>
            <w:pPr/>
            <w:r>
              <w:t xml:space="preserve">Base</w:t>
            </w:r>
          </w:p>
        </w:tc>
        <w:tc>
          <w:tcPr>
            <w:tcW w:w="6454" w:type="dxa"/>
          </w:tcPr>
          <w:p>
            <w:pPr/>
            <w:r>
              <w:t xml:space="preserve">MariaDB 10.4 con XAMPP (local); TiDB Cloud Starter, AWS us-east-1 (producción)</w:t>
            </w:r>
          </w:p>
        </w:tc>
      </w:tr>
      <w:tr>
        <w:tc>
          <w:tcPr>
            <w:tcW w:w="2905" w:type="dxa"/>
          </w:tcPr>
          <w:p>
            <w:pPr/>
            <w:r>
              <w:t xml:space="preserve">Publicación</w:t>
            </w:r>
          </w:p>
        </w:tc>
        <w:tc>
          <w:tcPr>
            <w:tcW w:w="6454" w:type="dxa"/>
          </w:tcPr>
          <w:p>
            <w:pPr/>
            <w:r>
              <w:t xml:space="preserve">Render (servicio web Node, plan gratuito, Virginia)</w:t>
            </w:r>
          </w:p>
        </w:tc>
      </w:tr>
      <w:tr>
        <w:tc>
          <w:tcPr>
            <w:tcW w:w="2905" w:type="dxa"/>
          </w:tcPr>
          <w:p>
            <w:pPr/>
            <w:r>
              <w:t xml:space="preserve">Pruebas</w:t>
            </w:r>
          </w:p>
        </w:tc>
        <w:tc>
          <w:tcPr>
            <w:tcW w:w="6454" w:type="dxa"/>
          </w:tcPr>
          <w:p>
            <w:pPr/>
            <w:r>
              <w:t xml:space="preserve">node:test (incluido en Node), supertest 7</w:t>
            </w:r>
          </w:p>
        </w:tc>
      </w:tr>
      <w:tr>
        <w:tc>
          <w:tcPr>
            <w:tcW w:w="2905" w:type="dxa"/>
          </w:tcPr>
          <w:p>
            <w:pPr/>
            <w:r>
              <w:t xml:space="preserve">Diagramas</w:t>
            </w:r>
          </w:p>
        </w:tc>
        <w:tc>
          <w:tcPr>
            <w:tcW w:w="6454" w:type="dxa"/>
          </w:tcPr>
          <w:p>
            <w:pPr/>
            <w:r>
              <w:t xml:space="preserve">Mermaid (</w:t>
            </w:r>
            <w:r>
              <w:rPr>
                <w:rStyle w:val="CodeChar"/>
              </w:rPr>
              <w:t xml:space="preserve">docs/diagramas/</w:t>
            </w:r>
            <w:r>
              <w:t xml:space="preserve">)</w:t>
            </w:r>
          </w:p>
        </w:tc>
      </w:tr>
    </w:tbl>
    <w:p>
      <w:pPr>
        <w:pStyle w:val="Heading2"/>
      </w:pPr>
      <w:r>
        <w:t xml:space="preserve">3. Estructura del proyecto</w:t>
      </w:r>
    </w:p>
    <w:p>
      <w:pPr/>
      <w:r>
        <w:t xml:space="preserve">El repositorio tiene dos proyectos Node independientes (</w:t>
      </w:r>
      <w:r>
        <w:rPr>
          <w:rStyle w:val="CodeChar"/>
        </w:rPr>
        <w:t xml:space="preserve">carga/</w:t>
      </w:r>
      <w:r>
        <w:t xml:space="preserve"> y </w:t>
      </w:r>
      <w:r>
        <w:rPr>
          <w:rStyle w:val="CodeChar"/>
        </w:rPr>
        <w:t xml:space="preserve">api/</w:t>
      </w:r>
      <w:r>
        <w:t xml:space="preserve">), cada uno con su </w:t>
      </w:r>
      <w:r>
        <w:rPr>
          <w:rStyle w:val="CodeChar"/>
        </w:rPr>
        <w:t xml:space="preserve">package.json</w:t>
      </w:r>
      <w:r>
        <w:t xml:space="preserve"> y su </w:t>
      </w:r>
      <w:r>
        <w:rPr>
          <w:rStyle w:val="CodeChar"/>
        </w:rPr>
        <w:t xml:space="preserve">.env</w:t>
      </w:r>
      <w:r>
        <w:t xml:space="preserve">, que comparten los scripts de base de </w:t>
      </w:r>
      <w:r>
        <w:rPr>
          <w:rStyle w:val="CodeChar"/>
        </w:rPr>
        <w:t xml:space="preserve">db/</w:t>
      </w:r>
      <w:r>
        <w:t xml:space="preserve">.</w:t>
      </w:r>
    </w:p>
    <w:p>
      <w:pPr>
        <w:pStyle w:val="Code"/>
      </w:pPr>
      <w:r>
        <w:t xml:space="preserve">TP/</w:t>
        <w:br/>
        <w:t xml:space="preserve">├─ api/                     API REST y página de consulta (se publica en Render)</w:t>
        <w:br/>
        <w:t xml:space="preserve">│  ├─ src/</w:t>
        <w:br/>
        <w:t xml:space="preserve">│  │  ├─ server.js           arranca el servidor HTTP</w:t>
        <w:br/>
        <w:t xml:space="preserve">│  │  ├─ app.js              Express: JSON, archivos estáticos, rutas, errores</w:t>
        <w:br/>
        <w:t xml:space="preserve">│  │  ├─ config/db.js        pool de conexiones (mysql2), TLS para TiDB</w:t>
        <w:br/>
        <w:t xml:space="preserve">│  │  ├─ routes/             impo, auth, consultas</w:t>
        <w:br/>
        <w:t xml:space="preserve">│  │  ├─ middlewares/        auth.js (JWT y roles), errors.js</w:t>
        <w:br/>
        <w:t xml:space="preserve">│  │  ├─ controllers/        validación de parámetros y respuestas</w:t>
        <w:br/>
        <w:t xml:space="preserve">│  │  ├─ models/             consultas SQL</w:t>
        <w:br/>
        <w:t xml:space="preserve">│  │  ├─ consultas/          consultas guardadas (.sql con parámetros)</w:t>
        <w:br/>
        <w:t xml:space="preserve">│  │  └─ utils/              nroAduana.js (dígito verificador), ncm.js</w:t>
        <w:br/>
        <w:t xml:space="preserve">│  ├─ public/              impo.html, css/impo.css, js/impo.js, img/</w:t>
        <w:br/>
        <w:t xml:space="preserve">│  ├─ scripts/crear-usuario.js   alta del primer administrador</w:t>
        <w:br/>
        <w:t xml:space="preserve">│  └─ test/                unit/ e integracion/</w:t>
        <w:br/>
        <w:t xml:space="preserve">├─ carga/                   carga mensual y copia a la nube (corre en el servidor local)</w:t>
        <w:br/>
        <w:t xml:space="preserve">│  ├─ crear-base.js        npm run base</w:t>
        <w:br/>
        <w:t xml:space="preserve">│  ├─ importar-kit.js      npm run kit</w:t>
        <w:br/>
        <w:t xml:space="preserve">│  ├─ cargar-mes.js        npm run mes</w:t>
        <w:br/>
        <w:t xml:space="preserve">│  ├─ copiar-a-tidb.js     npm run tidb</w:t>
        <w:br/>
        <w:t xml:space="preserve">│  └─ lib/                 conexion.js, lector-lst.js, pasos-mes.js</w:t>
        <w:br/>
        <w:t xml:space="preserve">├─ db/                      scripts SQL (usuarios, esquema, KIT, datos de prueba, matriz, TiDB)</w:t>
        <w:br/>
        <w:t xml:space="preserve">├─ access/                  modelo de diseño en Access y módulos VBA de referencia</w:t>
        <w:br/>
        <w:t xml:space="preserve">└─ docs/                    API.md, DECISIONES.md, diagramas/, pruebas/, entregas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952"/>
        <w:gridCol w:w="5407"/>
      </w:tblGrid>
      <w:tr>
        <w:trPr>
          <w:tblHeader/>
        </w:trPr>
        <w:tc>
          <w:tcPr>
            <w:tcW w:w="3952" w:type="dxa"/>
            <w:shd w:val="clear" w:color="auto" w:fill="F2F2F2"/>
          </w:tcPr>
          <w:p>
            <w:pPr/>
            <w:r>
              <w:t xml:space="preserve">Archivo</w:t>
            </w:r>
          </w:p>
        </w:tc>
        <w:tc>
          <w:tcPr>
            <w:tcW w:w="5407" w:type="dxa"/>
            <w:shd w:val="clear" w:color="auto" w:fill="F2F2F2"/>
          </w:tcPr>
          <w:p>
            <w:pPr/>
            <w:r>
              <w:t xml:space="preserve">Qué hay que saber</w:t>
            </w:r>
          </w:p>
        </w:tc>
      </w:tr>
      <w:tr>
        <w:tc>
          <w:tcPr>
            <w:tcW w:w="3952" w:type="dxa"/>
          </w:tcPr>
          <w:p>
            <w:pPr/>
            <w:r>
              <w:rPr>
                <w:rStyle w:val="CodeChar"/>
              </w:rPr>
              <w:t xml:space="preserve">api/public/js/impo.js</w:t>
            </w:r>
          </w:p>
        </w:tc>
        <w:tc>
          <w:tcPr>
            <w:tcW w:w="5407" w:type="dxa"/>
          </w:tcPr>
          <w:p>
            <w:pPr/>
            <w:r>
              <w:t xml:space="preserve">Todo el front: sesión y token, una sección por pestaña, exportación CSV, autocompletado y administración de usuarios</w:t>
            </w:r>
          </w:p>
        </w:tc>
      </w:tr>
      <w:tr>
        <w:tc>
          <w:tcPr>
            <w:tcW w:w="3952" w:type="dxa"/>
          </w:tcPr>
          <w:p>
            <w:pPr/>
            <w:r>
              <w:rPr>
                <w:rStyle w:val="CodeChar"/>
              </w:rPr>
              <w:t xml:space="preserve">api/src/models/impo.model.js</w:t>
            </w:r>
          </w:p>
        </w:tc>
        <w:tc>
          <w:tcPr>
            <w:tcW w:w="5407" w:type="dxa"/>
          </w:tcPr>
          <w:p>
            <w:pPr/>
            <w:r>
              <w:t xml:space="preserve">Todas las consultas de datos; la matriz y los períodos se guardan en caché unos minutos</w:t>
            </w:r>
          </w:p>
        </w:tc>
      </w:tr>
      <w:tr>
        <w:tc>
          <w:tcPr>
            <w:tcW w:w="3952" w:type="dxa"/>
          </w:tcPr>
          <w:p>
            <w:pPr/>
            <w:r>
              <w:rPr>
                <w:rStyle w:val="CodeChar"/>
              </w:rPr>
              <w:t xml:space="preserve">carga/lib/pasos-mes.js</w:t>
            </w:r>
          </w:p>
        </w:tc>
        <w:tc>
          <w:tcPr>
            <w:tcW w:w="5407" w:type="dxa"/>
          </w:tcPr>
          <w:p>
            <w:pPr/>
            <w:r>
              <w:t xml:space="preserve">Los pasos SQL de la carga mensual, en orden: staging, validaciones, alta de importadores y posiciones, carátula, ítem y liquidación</w:t>
            </w:r>
          </w:p>
        </w:tc>
      </w:tr>
      <w:tr>
        <w:tc>
          <w:tcPr>
            <w:tcW w:w="3952" w:type="dxa"/>
          </w:tcPr>
          <w:p>
            <w:pPr/>
            <w:r>
              <w:rPr>
                <w:rStyle w:val="CodeChar"/>
              </w:rPr>
              <w:t xml:space="preserve">docs/DECISIONES.md</w:t>
            </w:r>
          </w:p>
        </w:tc>
        <w:tc>
          <w:tcPr>
            <w:tcW w:w="5407" w:type="dxa"/>
          </w:tcPr>
          <w:p>
            <w:pPr/>
            <w:r>
              <w:t xml:space="preserve">Por qué el modelo es como es (procedencia por ítem, tipos de datos, particiones, TiDB)</w:t>
            </w:r>
          </w:p>
        </w:tc>
      </w:tr>
      <w:tr>
        <w:tc>
          <w:tcPr>
            <w:tcW w:w="3952" w:type="dxa"/>
          </w:tcPr>
          <w:p>
            <w:pPr/>
            <w:r>
              <w:rPr>
                <w:rStyle w:val="CodeChar"/>
              </w:rPr>
              <w:t xml:space="preserve">docs/API.md</w:t>
            </w:r>
          </w:p>
        </w:tc>
        <w:tc>
          <w:tcPr>
            <w:tcW w:w="5407" w:type="dxa"/>
          </w:tcPr>
          <w:p>
            <w:pPr/>
            <w:r>
              <w:t xml:space="preserve">Contrato de la API para el front: rutas, parámetros y respuestas</w:t>
            </w:r>
          </w:p>
        </w:tc>
      </w:tr>
    </w:tbl>
    <w:p>
      <w:pPr>
        <w:pStyle w:val="Heading2"/>
      </w:pPr>
      <w:r>
        <w:t xml:space="preserve">4. Base de datos</w:t>
      </w:r>
    </w:p>
    <w:p>
      <w:pPr/>
      <w:r>
        <w:t xml:space="preserve">La base </w:t>
      </w:r>
      <w:r>
        <w:rPr>
          <w:rStyle w:val="CodeChar"/>
        </w:rPr>
        <w:t xml:space="preserve">comex</w:t>
      </w:r>
      <w:r>
        <w:t xml:space="preserve"> (utf8mb4) tiene tres grupos de tablas: los </w:t>
      </w:r>
      <w:r>
        <w:rPr>
          <w:b/>
          <w:bCs/>
        </w:rPr>
        <w:t xml:space="preserve">hechos</w:t>
      </w:r>
      <w:r>
        <w:t xml:space="preserve"> de cada despacho (carátula, ítem y liquidación), las </w:t>
      </w:r>
      <w:r>
        <w:rPr>
          <w:b/>
          <w:bCs/>
        </w:rPr>
        <w:t xml:space="preserve">tablas de códigos</w:t>
      </w:r>
      <w:r>
        <w:t xml:space="preserve"> del KIT de ARCA y las de </w:t>
      </w:r>
      <w:r>
        <w:rPr>
          <w:b/>
          <w:bCs/>
        </w:rPr>
        <w:t xml:space="preserve">clasificación</w:t>
      </w:r>
      <w:r>
        <w:t xml:space="preserve"> de la matriz; aparte, la tabla de </w:t>
      </w:r>
      <w:r>
        <w:rPr>
          <w:b/>
          <w:bCs/>
        </w:rPr>
        <w:t xml:space="preserve">usuarios</w:t>
      </w:r>
      <w:r>
        <w:t xml:space="preserve">. El script </w:t>
      </w:r>
      <w:r>
        <w:rPr>
          <w:rStyle w:val="CodeChar"/>
        </w:rPr>
        <w:t xml:space="preserve">db/01_schema.sql</w:t>
      </w:r>
      <w:r>
        <w:t xml:space="preserve"> crea la versión MariaDB y </w:t>
      </w:r>
      <w:r>
        <w:rPr>
          <w:rStyle w:val="CodeChar"/>
        </w:rPr>
        <w:t xml:space="preserve">db/tidb_schema.sql</w:t>
      </w:r>
      <w:r>
        <w:t xml:space="preserve"> la de TiDB.</w:t>
      </w:r>
    </w:p>
    <w:p>
      <w:pPr>
        <w:pStyle w:val="Heading3"/>
      </w:pPr>
      <w:r>
        <w:t xml:space="preserve">4.1 Diagrama entidad-relación</w:t>
      </w:r>
    </w:p>
    <w:p>
      <w:pPr/>
      <w:r>
        <w:drawing>
          <wp:inline distT="0" distB="0" distL="0" distR="0">
            <wp:extent cx="5486400" cy="4667638"/>
            <wp:docPr id="2" name="image2" descr="Diagrama entidad-relación de la base come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Diagrama entidad-relación de la base comex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Fuente editable: </w:t>
      </w:r>
      <w:r>
        <w:rPr>
          <w:rStyle w:val="CodeChar"/>
        </w:rPr>
        <w:t xml:space="preserve">docs/diagramas/01-entidad-relacion.mmd</w:t>
      </w:r>
      <w:r>
        <w:t xml:space="preserve">.</w:t>
      </w:r>
    </w:p>
    <w:p>
      <w:pPr>
        <w:pStyle w:val="Heading3"/>
      </w:pPr>
      <w:r>
        <w:t xml:space="preserve">4.2 Tablas y campos</w:t>
      </w:r>
    </w:p>
    <w:p>
      <w:pPr/>
      <w:r>
        <w:rPr>
          <w:b/>
          <w:bCs/>
        </w:rPr>
        <w:t xml:space="preserve">Hechos</w:t>
      </w:r>
      <w:r>
        <w:t xml:space="preserve"> (una fila por despacho, por ítem y por concepto liquidado):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76"/>
        <w:gridCol w:w="2764"/>
        <w:gridCol w:w="4920"/>
      </w:tblGrid>
      <w:tr>
        <w:trPr>
          <w:tblHeader/>
        </w:trPr>
        <w:tc>
          <w:tcPr>
            <w:tcW w:w="1676" w:type="dxa"/>
            <w:shd w:val="clear" w:color="auto" w:fill="F2F2F2"/>
          </w:tcPr>
          <w:p>
            <w:pPr/>
            <w:r>
              <w:t xml:space="preserve">Tabla</w:t>
            </w:r>
          </w:p>
        </w:tc>
        <w:tc>
          <w:tcPr>
            <w:tcW w:w="2764" w:type="dxa"/>
            <w:shd w:val="clear" w:color="auto" w:fill="F2F2F2"/>
          </w:tcPr>
          <w:p>
            <w:pPr/>
            <w:r>
              <w:t xml:space="preserve">Clave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Campos principales</w:t>
            </w:r>
          </w:p>
        </w:tc>
      </w:tr>
      <w:tr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caratula</w:t>
            </w:r>
          </w:p>
        </w:tc>
        <w:tc>
          <w:tcPr>
            <w:tcW w:w="2764" w:type="dxa"/>
          </w:tcPr>
          <w:p>
            <w:pPr/>
            <w:r>
              <w:t xml:space="preserve">(IdOperacion, Periodo)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NroAduana</w:t>
            </w:r>
            <w:r>
              <w:t xml:space="preserve"> (16 caracteres, único por período); </w:t>
            </w:r>
            <w:r>
              <w:rPr>
                <w:rStyle w:val="CodeChar"/>
              </w:rPr>
              <w:t xml:space="preserve">AnioRegistro</w:t>
            </w:r>
            <w:r>
              <w:t xml:space="preserve">, </w:t>
            </w:r>
            <w:r>
              <w:rPr>
                <w:rStyle w:val="CodeChar"/>
              </w:rPr>
              <w:t xml:space="preserve">AduanaOficializacion</w:t>
            </w:r>
            <w:r>
              <w:t xml:space="preserve"> y </w:t>
            </w:r>
            <w:r>
              <w:rPr>
                <w:rStyle w:val="CodeChar"/>
              </w:rPr>
              <w:t xml:space="preserve">Destinacion</w:t>
            </w:r>
            <w:r>
              <w:t xml:space="preserve"> se calculan del número; </w:t>
            </w:r>
            <w:r>
              <w:rPr>
                <w:rStyle w:val="CodeChar"/>
              </w:rPr>
              <w:t xml:space="preserve">IdImportador</w:t>
            </w:r>
            <w:r>
              <w:t xml:space="preserve">, </w:t>
            </w:r>
            <w:r>
              <w:rPr>
                <w:rStyle w:val="CodeChar"/>
              </w:rPr>
              <w:t xml:space="preserve">PaisProcedencia</w:t>
            </w:r>
            <w:r>
              <w:t xml:space="preserve">, </w:t>
            </w:r>
            <w:r>
              <w:rPr>
                <w:rStyle w:val="CodeChar"/>
              </w:rPr>
              <w:t xml:space="preserve">Via</w:t>
            </w:r>
            <w:r>
              <w:t xml:space="preserve">, </w:t>
            </w:r>
            <w:r>
              <w:rPr>
                <w:rStyle w:val="CodeChar"/>
              </w:rPr>
              <w:t xml:space="preserve">DivisaFOB</w:t>
            </w:r>
            <w:r>
              <w:t xml:space="preserve">, </w:t>
            </w:r>
            <w:r>
              <w:rPr>
                <w:rStyle w:val="CodeChar"/>
              </w:rPr>
              <w:t xml:space="preserve">FobTotalDivisas</w:t>
            </w:r>
          </w:p>
        </w:tc>
      </w:tr>
      <w:tr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item</w:t>
            </w:r>
          </w:p>
        </w:tc>
        <w:tc>
          <w:tcPr>
            <w:tcW w:w="2764" w:type="dxa"/>
          </w:tcPr>
          <w:p>
            <w:pPr/>
            <w:r>
              <w:t xml:space="preserve">(IdOperacion, Item, Periodo)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IdPosicion</w:t>
            </w:r>
            <w:r>
              <w:t xml:space="preserve">, </w:t>
            </w:r>
            <w:r>
              <w:rPr>
                <w:rStyle w:val="CodeChar"/>
              </w:rPr>
              <w:t xml:space="preserve">PaisOrigen</w:t>
            </w:r>
            <w:r>
              <w:t xml:space="preserve">, </w:t>
            </w:r>
            <w:r>
              <w:rPr>
                <w:rStyle w:val="CodeChar"/>
              </w:rPr>
              <w:t xml:space="preserve">PaisProcedencia</w:t>
            </w:r>
            <w:r>
              <w:t xml:space="preserve">, </w:t>
            </w:r>
            <w:r>
              <w:rPr>
                <w:rStyle w:val="CodeChar"/>
              </w:rPr>
              <w:t xml:space="preserve">UnidadMedida</w:t>
            </w:r>
            <w:r>
              <w:t xml:space="preserve">, </w:t>
            </w:r>
            <w:r>
              <w:rPr>
                <w:rStyle w:val="CodeChar"/>
              </w:rPr>
              <w:t xml:space="preserve">CantidadUnidades</w:t>
            </w:r>
            <w:r>
              <w:t xml:space="preserve">, </w:t>
            </w:r>
            <w:r>
              <w:rPr>
                <w:rStyle w:val="CodeChar"/>
              </w:rPr>
              <w:t xml:space="preserve">FobTotalDolares</w:t>
            </w:r>
            <w:r>
              <w:t xml:space="preserve">; </w:t>
            </w:r>
            <w:r>
              <w:rPr>
                <w:rStyle w:val="CodeChar"/>
              </w:rPr>
              <w:t xml:space="preserve">ValorUnitario</w:t>
            </w:r>
            <w:r>
              <w:t xml:space="preserve"> = FOB / cantidad (calculado)</w:t>
            </w:r>
          </w:p>
        </w:tc>
      </w:tr>
      <w:tr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liq</w:t>
            </w:r>
          </w:p>
        </w:tc>
        <w:tc>
          <w:tcPr>
            <w:tcW w:w="2764" w:type="dxa"/>
          </w:tcPr>
          <w:p>
            <w:pPr/>
            <w:r>
              <w:t xml:space="preserve">(IdOperacion, Item, Codigo, Periodo)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Codigo</w:t>
            </w:r>
            <w:r>
              <w:t xml:space="preserve"> (concepto de </w:t>
            </w:r>
            <w:r>
              <w:rPr>
                <w:rStyle w:val="CodeChar"/>
              </w:rPr>
              <w:t xml:space="preserve">tasas</w:t>
            </w:r>
            <w:r>
              <w:t xml:space="preserve">), </w:t>
            </w:r>
            <w:r>
              <w:rPr>
                <w:rStyle w:val="CodeChar"/>
              </w:rPr>
              <w:t xml:space="preserve">Monto</w:t>
            </w:r>
            <w:r>
              <w:t xml:space="preserve"> en USD</w:t>
            </w:r>
          </w:p>
        </w:tc>
      </w:tr>
      <w:tr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importadores</w:t>
            </w:r>
          </w:p>
        </w:tc>
        <w:tc>
          <w:tcPr>
            <w:tcW w:w="2764" w:type="dxa"/>
          </w:tcPr>
          <w:p>
            <w:pPr/>
            <w:r>
              <w:t xml:space="preserve">IdImportador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Nombre</w:t>
            </w:r>
            <w:r>
              <w:t xml:space="preserve"> (único), </w:t>
            </w:r>
            <w:r>
              <w:rPr>
                <w:rStyle w:val="CodeChar"/>
              </w:rPr>
              <w:t xml:space="preserve">IdCanonico</w:t>
            </w:r>
            <w:r>
              <w:t xml:space="preserve"> para unificar variantes del mismo nombre</w:t>
            </w:r>
          </w:p>
        </w:tc>
      </w:tr>
      <w:tr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stg_impo</w:t>
            </w:r>
          </w:p>
        </w:tc>
        <w:tc>
          <w:tcPr>
            <w:tcW w:w="2764" w:type="dxa"/>
          </w:tcPr>
          <w:p>
            <w:pPr/>
            <w:r>
              <w:t xml:space="preserve">—</w:t>
            </w:r>
          </w:p>
        </w:tc>
        <w:tc>
          <w:tcPr>
            <w:tcW w:w="4920" w:type="dxa"/>
          </w:tcPr>
          <w:p>
            <w:pPr/>
            <w:r>
              <w:t xml:space="preserve">Tabla de paso: recibe el archivo línea por línea antes de validarlo</w:t>
            </w:r>
          </w:p>
        </w:tc>
      </w:tr>
    </w:tbl>
    <w:p>
      <w:pPr/>
      <w:r>
        <w:rPr>
          <w:b/>
          <w:bCs/>
        </w:rPr>
        <w:t xml:space="preserve">Códigos del KIT</w:t>
      </w:r>
      <w:r>
        <w:t xml:space="preserve"> (se importan con </w:t>
      </w:r>
      <w:r>
        <w:rPr>
          <w:rStyle w:val="CodeChar"/>
        </w:rPr>
        <w:t xml:space="preserve">npm run kit</w:t>
      </w:r>
      <w:r>
        <w:t xml:space="preserve">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96"/>
        <w:gridCol w:w="1344"/>
        <w:gridCol w:w="4920"/>
      </w:tblGrid>
      <w:tr>
        <w:trPr>
          <w:tblHeader/>
        </w:trPr>
        <w:tc>
          <w:tcPr>
            <w:tcW w:w="3096" w:type="dxa"/>
            <w:shd w:val="clear" w:color="auto" w:fill="F2F2F2"/>
          </w:tcPr>
          <w:p>
            <w:pPr/>
            <w:r>
              <w:t xml:space="preserve">Tabla</w:t>
            </w:r>
          </w:p>
        </w:tc>
        <w:tc>
          <w:tcPr>
            <w:tcW w:w="1344" w:type="dxa"/>
            <w:shd w:val="clear" w:color="auto" w:fill="F2F2F2"/>
          </w:tcPr>
          <w:p>
            <w:pPr/>
            <w:r>
              <w:t xml:space="preserve">Clave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Contenido</w:t>
            </w:r>
          </w:p>
        </w:tc>
      </w:tr>
      <w:tr>
        <w:tc>
          <w:tcPr>
            <w:tcW w:w="3096" w:type="dxa"/>
          </w:tcPr>
          <w:p>
            <w:pPr/>
            <w:r>
              <w:rPr>
                <w:rStyle w:val="CodeChar"/>
              </w:rPr>
              <w:t xml:space="preserve">posicion</w:t>
            </w:r>
          </w:p>
        </w:tc>
        <w:tc>
          <w:tcPr>
            <w:tcW w:w="1344" w:type="dxa"/>
          </w:tcPr>
          <w:p>
            <w:pPr/>
            <w:r>
              <w:t xml:space="preserve">IdPosicion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PosicionSIM</w:t>
            </w:r>
            <w:r>
              <w:t xml:space="preserve"> (NCM con puntos, única), </w:t>
            </w:r>
            <w:r>
              <w:rPr>
                <w:rStyle w:val="CodeChar"/>
              </w:rPr>
              <w:t xml:space="preserve">Capitulo</w:t>
            </w:r>
            <w:r>
              <w:t xml:space="preserve"> y </w:t>
            </w:r>
            <w:r>
              <w:rPr>
                <w:rStyle w:val="CodeChar"/>
              </w:rPr>
              <w:t xml:space="preserve">Partida</w:t>
            </w:r>
            <w:r>
              <w:t xml:space="preserve"> calculados, </w:t>
            </w:r>
            <w:r>
              <w:rPr>
                <w:rStyle w:val="CodeChar"/>
              </w:rPr>
              <w:t xml:space="preserve">DescripcionNCM</w:t>
            </w:r>
            <w:r>
              <w:t xml:space="preserve">, alícuotas</w:t>
            </w:r>
          </w:p>
        </w:tc>
      </w:tr>
      <w:tr>
        <w:tc>
          <w:tcPr>
            <w:tcW w:w="3096" w:type="dxa"/>
          </w:tcPr>
          <w:p>
            <w:pPr/>
            <w:r>
              <w:rPr>
                <w:rStyle w:val="CodeChar"/>
              </w:rPr>
              <w:t xml:space="preserve">paises</w:t>
            </w:r>
          </w:p>
        </w:tc>
        <w:tc>
          <w:tcPr>
            <w:tcW w:w="1344" w:type="dxa"/>
          </w:tcPr>
          <w:p>
            <w:pPr/>
            <w:r>
              <w:t xml:space="preserve">Codigo (3)</w:t>
            </w:r>
          </w:p>
        </w:tc>
        <w:tc>
          <w:tcPr>
            <w:tcW w:w="4920" w:type="dxa"/>
          </w:tcPr>
          <w:p>
            <w:pPr/>
            <w:r>
              <w:t xml:space="preserve">El primer dígito es la región: 1 África, 2 América, 3 Asia, 4 Europa, 5 Oceanía</w:t>
            </w:r>
          </w:p>
        </w:tc>
      </w:tr>
      <w:tr>
        <w:tc>
          <w:tcPr>
            <w:tcW w:w="3096" w:type="dxa"/>
          </w:tcPr>
          <w:p>
            <w:pPr/>
            <w:r>
              <w:rPr>
                <w:rStyle w:val="CodeChar"/>
              </w:rPr>
              <w:t xml:space="preserve">aduanas</w:t>
            </w:r>
            <w:r>
              <w:t xml:space="preserve">, </w:t>
            </w:r>
            <w:r>
              <w:rPr>
                <w:rStyle w:val="CodeChar"/>
              </w:rPr>
              <w:t xml:space="preserve">via</w:t>
            </w:r>
            <w:r>
              <w:t xml:space="preserve">, </w:t>
            </w:r>
            <w:r>
              <w:rPr>
                <w:rStyle w:val="CodeChar"/>
              </w:rPr>
              <w:t xml:space="preserve">unidadesmedida</w:t>
            </w:r>
            <w:r>
              <w:t xml:space="preserve">, </w:t>
            </w:r>
            <w:r>
              <w:rPr>
                <w:rStyle w:val="CodeChar"/>
              </w:rPr>
              <w:t xml:space="preserve">divisas</w:t>
            </w:r>
            <w:r>
              <w:t xml:space="preserve">, </w:t>
            </w:r>
            <w:r>
              <w:rPr>
                <w:rStyle w:val="CodeChar"/>
              </w:rPr>
              <w:t xml:space="preserve">tasas</w:t>
            </w:r>
            <w:r>
              <w:t xml:space="preserve">, </w:t>
            </w:r>
            <w:r>
              <w:rPr>
                <w:rStyle w:val="CodeChar"/>
              </w:rPr>
              <w:t xml:space="preserve">destinaciones</w:t>
            </w:r>
          </w:p>
        </w:tc>
        <w:tc>
          <w:tcPr>
            <w:tcW w:w="1344" w:type="dxa"/>
          </w:tcPr>
          <w:p>
            <w:pPr/>
            <w:r>
              <w:t xml:space="preserve">Codigo</w:t>
            </w:r>
          </w:p>
        </w:tc>
        <w:tc>
          <w:tcPr>
            <w:tcW w:w="4920" w:type="dxa"/>
          </w:tcPr>
          <w:p>
            <w:pPr/>
            <w:r>
              <w:t xml:space="preserve">Descripción de cada código</w:t>
            </w:r>
          </w:p>
        </w:tc>
      </w:tr>
    </w:tbl>
    <w:p>
      <w:pPr/>
      <w:r>
        <w:rPr>
          <w:b/>
          <w:bCs/>
        </w:rPr>
        <w:t xml:space="preserve">Clasificación y usuarios: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35"/>
        <w:gridCol w:w="2452"/>
        <w:gridCol w:w="3873"/>
      </w:tblGrid>
      <w:tr>
        <w:trPr>
          <w:tblHeader/>
        </w:trPr>
        <w:tc>
          <w:tcPr>
            <w:tcW w:w="3035" w:type="dxa"/>
            <w:shd w:val="clear" w:color="auto" w:fill="F2F2F2"/>
          </w:tcPr>
          <w:p>
            <w:pPr/>
            <w:r>
              <w:t xml:space="preserve">Tabla</w:t>
            </w:r>
          </w:p>
        </w:tc>
        <w:tc>
          <w:tcPr>
            <w:tcW w:w="2452" w:type="dxa"/>
            <w:shd w:val="clear" w:color="auto" w:fill="F2F2F2"/>
          </w:tcPr>
          <w:p>
            <w:pPr/>
            <w:r>
              <w:t xml:space="preserve">Clave</w:t>
            </w:r>
          </w:p>
        </w:tc>
        <w:tc>
          <w:tcPr>
            <w:tcW w:w="3873" w:type="dxa"/>
            <w:shd w:val="clear" w:color="auto" w:fill="F2F2F2"/>
          </w:tcPr>
          <w:p>
            <w:pPr/>
            <w:r>
              <w:t xml:space="preserve">Contenido</w:t>
            </w:r>
          </w:p>
        </w:tc>
      </w:tr>
      <w:tr>
        <w:tc>
          <w:tcPr>
            <w:tcW w:w="3035" w:type="dxa"/>
          </w:tcPr>
          <w:p>
            <w:pPr/>
            <w:r>
              <w:rPr>
                <w:rStyle w:val="CodeChar"/>
              </w:rPr>
              <w:t xml:space="preserve">seccion</w:t>
            </w:r>
          </w:p>
        </w:tc>
        <w:tc>
          <w:tcPr>
            <w:tcW w:w="2452" w:type="dxa"/>
          </w:tcPr>
          <w:p>
            <w:pPr/>
            <w:r>
              <w:t xml:space="preserve">Codigo (I a XXI)</w:t>
            </w:r>
          </w:p>
        </w:tc>
        <w:tc>
          <w:tcPr>
            <w:tcW w:w="3873" w:type="dxa"/>
          </w:tcPr>
          <w:p>
            <w:pPr/>
            <w:r>
              <w:t xml:space="preserve">Secciones de la NCM, como las publica INDEC</w:t>
            </w:r>
          </w:p>
        </w:tc>
      </w:tr>
      <w:tr>
        <w:tc>
          <w:tcPr>
            <w:tcW w:w="3035" w:type="dxa"/>
          </w:tcPr>
          <w:p>
            <w:pPr/>
            <w:r>
              <w:rPr>
                <w:rStyle w:val="CodeChar"/>
              </w:rPr>
              <w:t xml:space="preserve">capitulo</w:t>
            </w:r>
          </w:p>
        </w:tc>
        <w:tc>
          <w:tcPr>
            <w:tcW w:w="2452" w:type="dxa"/>
          </w:tcPr>
          <w:p>
            <w:pPr/>
            <w:r>
              <w:t xml:space="preserve">Codigo (2)</w:t>
            </w:r>
          </w:p>
        </w:tc>
        <w:tc>
          <w:tcPr>
            <w:tcW w:w="3873" w:type="dxa"/>
          </w:tcPr>
          <w:p>
            <w:pPr/>
            <w:r>
              <w:t xml:space="preserve">Capítulo, su sección y nombre corto</w:t>
            </w:r>
          </w:p>
        </w:tc>
      </w:tr>
      <w:tr>
        <w:tc>
          <w:tcPr>
            <w:tcW w:w="3035" w:type="dxa"/>
          </w:tcPr>
          <w:p>
            <w:pPr/>
            <w:r>
              <w:rPr>
                <w:rStyle w:val="CodeChar"/>
              </w:rPr>
              <w:t xml:space="preserve">grupo</w:t>
            </w:r>
            <w:r>
              <w:t xml:space="preserve">, </w:t>
            </w:r>
            <w:r>
              <w:rPr>
                <w:rStyle w:val="CodeChar"/>
              </w:rPr>
              <w:t xml:space="preserve">grupo_destinacion</w:t>
            </w:r>
          </w:p>
        </w:tc>
        <w:tc>
          <w:tcPr>
            <w:tcW w:w="2452" w:type="dxa"/>
          </w:tcPr>
          <w:p>
            <w:pPr/>
            <w:r>
              <w:t xml:space="preserve">Codigo / Destinacion</w:t>
            </w:r>
          </w:p>
        </w:tc>
        <w:tc>
          <w:tcPr>
            <w:tcW w:w="3873" w:type="dxa"/>
          </w:tcPr>
          <w:p>
            <w:pPr/>
            <w:r>
              <w:t xml:space="preserve">Grupos de la matriz (consumo, temporales, zona franca, redes, AAE); sólo se guardan las excepciones</w:t>
            </w:r>
          </w:p>
        </w:tc>
      </w:tr>
      <w:tr>
        <w:tc>
          <w:tcPr>
            <w:tcW w:w="3035" w:type="dxa"/>
          </w:tcPr>
          <w:p>
            <w:pPr/>
            <w:r>
              <w:rPr>
                <w:rStyle w:val="CodeChar"/>
              </w:rPr>
              <w:t xml:space="preserve">usuarios</w:t>
            </w:r>
          </w:p>
        </w:tc>
        <w:tc>
          <w:tcPr>
            <w:tcW w:w="2452" w:type="dxa"/>
          </w:tcPr>
          <w:p>
            <w:pPr/>
            <w:r>
              <w:t xml:space="preserve">IdUsuario</w:t>
            </w:r>
          </w:p>
        </w:tc>
        <w:tc>
          <w:tcPr>
            <w:tcW w:w="3873" w:type="dxa"/>
          </w:tcPr>
          <w:p>
            <w:pPr/>
            <w:r>
              <w:rPr>
                <w:rStyle w:val="CodeChar"/>
              </w:rPr>
              <w:t xml:space="preserve">Usuario</w:t>
            </w:r>
            <w:r>
              <w:t xml:space="preserve"> (único), </w:t>
            </w:r>
            <w:r>
              <w:rPr>
                <w:rStyle w:val="CodeChar"/>
              </w:rPr>
              <w:t xml:space="preserve">Nombre</w:t>
            </w:r>
            <w:r>
              <w:t xml:space="preserve">, </w:t>
            </w:r>
            <w:r>
              <w:rPr>
                <w:rStyle w:val="CodeChar"/>
              </w:rPr>
              <w:t xml:space="preserve">ClaveHash</w:t>
            </w:r>
            <w:r>
              <w:t xml:space="preserve"> (bcrypt), </w:t>
            </w:r>
            <w:r>
              <w:rPr>
                <w:rStyle w:val="CodeChar"/>
              </w:rPr>
              <w:t xml:space="preserve">Rol</w:t>
            </w:r>
            <w:r>
              <w:t xml:space="preserve"> (</w:t>
            </w:r>
            <w:r>
              <w:rPr>
                <w:rStyle w:val="CodeChar"/>
              </w:rPr>
              <w:t xml:space="preserve">admin</w:t>
            </w:r>
            <w:r>
              <w:t xml:space="preserve"> o </w:t>
            </w:r>
            <w:r>
              <w:rPr>
                <w:rStyle w:val="CodeChar"/>
              </w:rPr>
              <w:t xml:space="preserve">consulta</w:t>
            </w:r>
            <w:r>
              <w:t xml:space="preserve">), </w:t>
            </w:r>
            <w:r>
              <w:rPr>
                <w:rStyle w:val="CodeChar"/>
              </w:rPr>
              <w:t xml:space="preserve">Activo</w:t>
            </w:r>
            <w:r>
              <w:t xml:space="preserve">, </w:t>
            </w:r>
            <w:r>
              <w:rPr>
                <w:rStyle w:val="CodeChar"/>
              </w:rPr>
              <w:t xml:space="preserve">CreadoEn</w:t>
            </w:r>
            <w:r>
              <w:t xml:space="preserve">, </w:t>
            </w:r>
            <w:r>
              <w:rPr>
                <w:rStyle w:val="CodeChar"/>
              </w:rPr>
              <w:t xml:space="preserve">UltimoIngreso</w:t>
            </w:r>
          </w:p>
        </w:tc>
      </w:tr>
    </w:tbl>
    <w:p>
      <w:pPr>
        <w:pStyle w:val="Heading3"/>
      </w:pPr>
      <w:r>
        <w:t xml:space="preserve">4.3 Relaciones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caratula</w:t>
      </w:r>
      <w:r>
        <w:t xml:space="preserve"> 1 → N </w:t>
      </w:r>
      <w:r>
        <w:rPr>
          <w:rStyle w:val="CodeChar"/>
        </w:rPr>
        <w:t xml:space="preserve">item</w:t>
      </w:r>
      <w:r>
        <w:t xml:space="preserve"> 1 → N </w:t>
      </w:r>
      <w:r>
        <w:rPr>
          <w:rStyle w:val="CodeChar"/>
        </w:rPr>
        <w:t xml:space="preserve">liq</w:t>
      </w:r>
      <w:r>
        <w:t xml:space="preserve">, por </w:t>
      </w:r>
      <w:r>
        <w:rPr>
          <w:rStyle w:val="CodeChar"/>
        </w:rPr>
        <w:t xml:space="preserve">IdOperacion</w:t>
      </w:r>
      <w:r>
        <w:t xml:space="preserve"> y </w:t>
      </w:r>
      <w:r>
        <w:rPr>
          <w:rStyle w:val="CodeChar"/>
        </w:rPr>
        <w:t xml:space="preserve">Periodo</w:t>
      </w:r>
      <w:r>
        <w:t xml:space="preserve">. Se usa un número interno en lugar del de despacho para que ítem y liquidación ocupen menos espacio.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item.IdPosicion</w:t>
      </w:r>
      <w:r>
        <w:t xml:space="preserve"> → </w:t>
      </w:r>
      <w:r>
        <w:rPr>
          <w:rStyle w:val="CodeChar"/>
        </w:rPr>
        <w:t xml:space="preserve">posicion</w:t>
      </w:r>
      <w:r>
        <w:t xml:space="preserve">; </w:t>
      </w:r>
      <w:r>
        <w:rPr>
          <w:rStyle w:val="CodeChar"/>
        </w:rPr>
        <w:t xml:space="preserve">posicion.Capitulo</w:t>
      </w:r>
      <w:r>
        <w:t xml:space="preserve"> → </w:t>
      </w:r>
      <w:r>
        <w:rPr>
          <w:rStyle w:val="CodeChar"/>
        </w:rPr>
        <w:t xml:space="preserve">capitulo</w:t>
      </w:r>
      <w:r>
        <w:t xml:space="preserve"> → </w:t>
      </w:r>
      <w:r>
        <w:rPr>
          <w:rStyle w:val="CodeChar"/>
        </w:rPr>
        <w:t xml:space="preserve">seccion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caratula.IdImportador</w:t>
      </w:r>
      <w:r>
        <w:t xml:space="preserve"> → </w:t>
      </w:r>
      <w:r>
        <w:rPr>
          <w:rStyle w:val="CodeChar"/>
        </w:rPr>
        <w:t xml:space="preserve">importadores</w:t>
      </w:r>
      <w:r>
        <w:t xml:space="preserve">; países, aduana, vía, divisa y destinación → su tabla del KIT.</w:t>
      </w:r>
    </w:p>
    <w:p>
      <w:pPr>
        <w:pStyle w:val="ListParagraph"/>
        <w:numPr>
          <w:ilvl w:val="0"/>
          <w:numId w:val="2"/>
        </w:numPr>
      </w:pPr>
      <w:r>
        <w:t xml:space="preserve">No se declaran claves foráneas: la carga es masiva y valida los códigos antes de insertar (informa los que no están en el KIT), y TiDB no las aplica.</w:t>
      </w:r>
    </w:p>
    <w:p>
      <w:pPr>
        <w:pStyle w:val="ListParagraph"/>
        <w:numPr>
          <w:ilvl w:val="0"/>
          <w:numId w:val="2"/>
        </w:numPr>
      </w:pPr>
      <w:r>
        <w:t xml:space="preserve">En MariaDB, </w:t>
      </w:r>
      <w:r>
        <w:rPr>
          <w:rStyle w:val="CodeChar"/>
        </w:rPr>
        <w:t xml:space="preserve">caratula</w:t>
      </w:r>
      <w:r>
        <w:t xml:space="preserve">, </w:t>
      </w:r>
      <w:r>
        <w:rPr>
          <w:rStyle w:val="CodeChar"/>
        </w:rPr>
        <w:t xml:space="preserve">item</w:t>
      </w:r>
      <w:r>
        <w:t xml:space="preserve"> y </w:t>
      </w:r>
      <w:r>
        <w:rPr>
          <w:rStyle w:val="CodeChar"/>
        </w:rPr>
        <w:t xml:space="preserve">liq</w:t>
      </w:r>
      <w:r>
        <w:t xml:space="preserve"> están particionadas por </w:t>
      </w:r>
      <w:r>
        <w:rPr>
          <w:rStyle w:val="CodeChar"/>
        </w:rPr>
        <w:t xml:space="preserve">Periodo</w:t>
      </w:r>
      <w:r>
        <w:t xml:space="preserve">: recargar un mes reemplaza su partición sin tocar las demás.</w:t>
      </w:r>
    </w:p>
    <w:p>
      <w:pPr>
        <w:pStyle w:val="Heading2"/>
      </w:pPr>
      <w:r>
        <w:t xml:space="preserve">5. Configuración e instalación</w:t>
      </w:r>
    </w:p>
    <w:p>
      <w:pPr/>
      <w:r>
        <w:t xml:space="preserve">Hay dos formas de evaluar el sistema: usar la versión publicada, que no requiere instalar nada, o levantar una copia local con datos de prueba en unos 15 minutos.</w:t>
      </w:r>
    </w:p>
    <w:p>
      <w:pPr>
        <w:pStyle w:val="Heading3"/>
      </w:pPr>
      <w:r>
        <w:t xml:space="preserve">5.1 Versión publicada</w:t>
      </w:r>
    </w:p>
    <w:p>
      <w:pPr>
        <w:pStyle w:val="ListParagraph"/>
        <w:numPr>
          <w:ilvl w:val="0"/>
          <w:numId w:val="3"/>
        </w:numPr>
      </w:pPr>
      <w:r>
        <w:t xml:space="preserve">Abrir </w:t>
      </w:r>
      <w:hyperlink r:id="rId4" w:history="1">
        <w:r>
          <w:rPr>
            <w:rStyle w:val="Hyperlink"/>
          </w:rPr>
          <w:t xml:space="preserve">pp4-comex.onrender.com/impo.html</w:t>
        </w:r>
      </w:hyperlink>
      <w:r>
        <w:t xml:space="preserve">. El plan gratuito de Render apaga el servicio tras 15 minutos sin uso: la primera carga puede tardar cerca de un minuto.</w:t>
      </w:r>
    </w:p>
    <w:p>
      <w:pPr>
        <w:pStyle w:val="ListParagraph"/>
        <w:numPr>
          <w:ilvl w:val="0"/>
          <w:numId w:val="3"/>
        </w:numPr>
      </w:pPr>
      <w:r>
        <w:t xml:space="preserve">Ingresar con el usuario de prueba de la tabla 5.6.</w:t>
      </w:r>
    </w:p>
    <w:p>
      <w:pPr>
        <w:pStyle w:val="Heading3"/>
      </w:pPr>
      <w:r>
        <w:t xml:space="preserve">5.2 Requisitos para la copia local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24"/>
        <w:gridCol w:w="3849"/>
        <w:gridCol w:w="3287"/>
      </w:tblGrid>
      <w:tr>
        <w:trPr>
          <w:tblHeader/>
        </w:trPr>
        <w:tc>
          <w:tcPr>
            <w:tcW w:w="2224" w:type="dxa"/>
            <w:shd w:val="clear" w:color="auto" w:fill="F2F2F2"/>
          </w:tcPr>
          <w:p>
            <w:pPr/>
            <w:r>
              <w:t xml:space="preserve">Programa</w:t>
            </w:r>
          </w:p>
        </w:tc>
        <w:tc>
          <w:tcPr>
            <w:tcW w:w="3849" w:type="dxa"/>
            <w:shd w:val="clear" w:color="auto" w:fill="F2F2F2"/>
          </w:tcPr>
          <w:p>
            <w:pPr/>
            <w:r>
              <w:t xml:space="preserve">Versión</w:t>
            </w:r>
          </w:p>
        </w:tc>
        <w:tc>
          <w:tcPr>
            <w:tcW w:w="3287" w:type="dxa"/>
            <w:shd w:val="clear" w:color="auto" w:fill="F2F2F2"/>
          </w:tcPr>
          <w:p>
            <w:pPr/>
            <w:r>
              <w:t xml:space="preserve">Para qué</w:t>
            </w:r>
          </w:p>
        </w:tc>
      </w:tr>
      <w:tr>
        <w:tc>
          <w:tcPr>
            <w:tcW w:w="2224" w:type="dxa"/>
          </w:tcPr>
          <w:p>
            <w:pPr/>
            <w:r>
              <w:t xml:space="preserve">Node.js</w:t>
            </w:r>
          </w:p>
        </w:tc>
        <w:tc>
          <w:tcPr>
            <w:tcW w:w="3849" w:type="dxa"/>
          </w:tcPr>
          <w:p>
            <w:pPr/>
            <w:r>
              <w:t xml:space="preserve">22 o superior (la API funciona desde la 18)</w:t>
            </w:r>
          </w:p>
        </w:tc>
        <w:tc>
          <w:tcPr>
            <w:tcW w:w="3287" w:type="dxa"/>
          </w:tcPr>
          <w:p>
            <w:pPr/>
            <w:r>
              <w:t xml:space="preserve">Ejecutar la API, la carga y las pruebas</w:t>
            </w:r>
          </w:p>
        </w:tc>
      </w:tr>
      <w:tr>
        <w:tc>
          <w:tcPr>
            <w:tcW w:w="2224" w:type="dxa"/>
          </w:tcPr>
          <w:p>
            <w:pPr/>
            <w:r>
              <w:t xml:space="preserve">MariaDB o MySQL</w:t>
            </w:r>
          </w:p>
        </w:tc>
        <w:tc>
          <w:tcPr>
            <w:tcW w:w="3849" w:type="dxa"/>
          </w:tcPr>
          <w:p>
            <w:pPr/>
            <w:r>
              <w:t xml:space="preserve">MariaDB 10.4 o superior (incluida en XAMPP) o MySQL 8</w:t>
            </w:r>
          </w:p>
        </w:tc>
        <w:tc>
          <w:tcPr>
            <w:tcW w:w="3287" w:type="dxa"/>
          </w:tcPr>
          <w:p>
            <w:pPr/>
            <w:r>
              <w:t xml:space="preserve">Base de datos local</w:t>
            </w:r>
          </w:p>
        </w:tc>
      </w:tr>
      <w:tr>
        <w:tc>
          <w:tcPr>
            <w:tcW w:w="2224" w:type="dxa"/>
          </w:tcPr>
          <w:p>
            <w:pPr/>
            <w:r>
              <w:t xml:space="preserve">Git</w:t>
            </w:r>
          </w:p>
        </w:tc>
        <w:tc>
          <w:tcPr>
            <w:tcW w:w="3849" w:type="dxa"/>
          </w:tcPr>
          <w:p>
            <w:pPr/>
            <w:r>
              <w:t xml:space="preserve">Cualquiera reciente</w:t>
            </w:r>
          </w:p>
        </w:tc>
        <w:tc>
          <w:tcPr>
            <w:tcW w:w="3287" w:type="dxa"/>
          </w:tcPr>
          <w:p>
            <w:pPr/>
            <w:r>
              <w:t xml:space="preserve">Descargar el repositorio (o bajar el ZIP desde GitHub)</w:t>
            </w:r>
          </w:p>
        </w:tc>
      </w:tr>
      <w:tr>
        <w:tc>
          <w:tcPr>
            <w:tcW w:w="2224" w:type="dxa"/>
          </w:tcPr>
          <w:p>
            <w:pPr/>
            <w:r>
              <w:t xml:space="preserve">Navegador</w:t>
            </w:r>
          </w:p>
        </w:tc>
        <w:tc>
          <w:tcPr>
            <w:tcW w:w="3849" w:type="dxa"/>
          </w:tcPr>
          <w:p>
            <w:pPr/>
            <w:r>
              <w:t xml:space="preserve">Chrome, Edge o Firefox actuales</w:t>
            </w:r>
          </w:p>
        </w:tc>
        <w:tc>
          <w:tcPr>
            <w:tcW w:w="3287" w:type="dxa"/>
          </w:tcPr>
          <w:p>
            <w:pPr/>
            <w:r>
              <w:t xml:space="preserve">Usar la página</w:t>
            </w:r>
          </w:p>
        </w:tc>
      </w:tr>
    </w:tbl>
    <w:p>
      <w:pPr/>
      <w:r>
        <w:t xml:space="preserve">Las dependencias de Node se instalan con </w:t>
      </w:r>
      <w:r>
        <w:rPr>
          <w:rStyle w:val="CodeChar"/>
        </w:rPr>
        <w:t xml:space="preserve">npm install</w:t>
      </w:r>
      <w:r>
        <w:t xml:space="preserve"> en cada carpeta; no hace falta instalar nada en forma global.</w:t>
      </w:r>
    </w:p>
    <w:p>
      <w:pPr>
        <w:pStyle w:val="Heading3"/>
      </w:pPr>
      <w:r>
        <w:t xml:space="preserve">5.3 Descargar el proyecto e instalar dependencias</w:t>
      </w:r>
    </w:p>
    <w:p>
      <w:pPr>
        <w:pStyle w:val="Code"/>
      </w:pPr>
      <w:bookmarkStart w:id="1" w:name="bongo_lang_powershell_1"/>
      <w:bookmarkEnd w:id="1"/>
      <w:r>
        <w:t xml:space="preserve">git clone https://github.com/SergioDanielGalvan/PP4-ProyectoFinal.git TP</w:t>
        <w:br/>
        <w:t xml:space="preserve">cd TP</w:t>
        <w:br/>
        <w:t xml:space="preserve">cd carga ; npm install ; cd ..</w:t>
        <w:br/>
        <w:t xml:space="preserve">cd api   ; npm install ; cd ..</w:t>
      </w:r>
    </w:p>
    <w:p>
      <w:pPr>
        <w:pStyle w:val="Heading3"/>
      </w:pPr>
      <w:r>
        <w:t xml:space="preserve">5.4 Crear y cargar la base</w:t>
      </w:r>
    </w:p>
    <w:p>
      <w:pPr/>
      <w:r>
        <w:t xml:space="preserve">Los scripts se pueden ejecutar con el cliente </w:t>
      </w:r>
      <w:r>
        <w:rPr>
          <w:rStyle w:val="CodeChar"/>
        </w:rPr>
        <w:t xml:space="preserve">mysql</w:t>
      </w:r>
      <w:r>
        <w:t xml:space="preserve"> o pegando su contenido en la pestaña </w:t>
      </w:r>
      <w:r>
        <w:rPr>
          <w:b/>
          <w:bCs/>
        </w:rPr>
        <w:t xml:space="preserve">SQL</w:t>
      </w:r>
      <w:r>
        <w:t xml:space="preserve"> de phpMyAdmin. En PowerShell el símbolo </w:t>
      </w:r>
      <w:r>
        <w:rPr>
          <w:rStyle w:val="CodeChar"/>
        </w:rPr>
        <w:t xml:space="preserve">&lt;</w:t>
      </w:r>
      <w:r>
        <w:t xml:space="preserve"> no funciona: hay que envolver el comando en </w:t>
      </w:r>
      <w:r>
        <w:rPr>
          <w:rStyle w:val="CodeChar"/>
        </w:rPr>
        <w:t xml:space="preserve">cmd /c "..."</w:t>
      </w:r>
      <w:r>
        <w:t xml:space="preserve">, como en los ejemplos.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Usuarios de la base</w:t>
      </w:r>
      <w:r>
        <w:t xml:space="preserve"> (como </w:t>
      </w:r>
      <w:r>
        <w:rPr>
          <w:rStyle w:val="CodeChar"/>
        </w:rPr>
        <w:t xml:space="preserve">root</w:t>
      </w:r>
      <w:r>
        <w:t xml:space="preserve">). Antes, cambiar en el script las claves de ejemplo:</w:t>
      </w:r>
    </w:p>
    <w:p>
      <w:pPr>
        <w:pStyle w:val="Code"/>
        <w:ind w:left="720"/>
      </w:pPr>
      <w:bookmarkStart w:id="2" w:name="bongo_lang_powershell_2"/>
      <w:bookmarkEnd w:id="2"/>
      <w:r>
        <w:t xml:space="preserve">cmd /c "mysql -u root -p &lt; db\00_crear_usuarios.sql"</w:t>
      </w:r>
    </w:p>
    <w:p>
      <w:pPr>
        <w:pStyle w:val="ListParagraph"/>
        <w:ind w:left="720"/>
      </w:pPr>
      <w:r>
        <w:t xml:space="preserve">Crea </w:t>
      </w:r>
      <w:r>
        <w:rPr>
          <w:rStyle w:val="CodeChar"/>
        </w:rPr>
        <w:t xml:space="preserve">comex_admin</w:t>
      </w:r>
      <w:r>
        <w:t xml:space="preserve"> (escritura, lo usa la carga) y </w:t>
      </w:r>
      <w:r>
        <w:rPr>
          <w:rStyle w:val="CodeChar"/>
        </w:rPr>
        <w:t xml:space="preserve">comex_api</w:t>
      </w:r>
      <w:r>
        <w:t xml:space="preserve"> (sólo lectura, lo usa la API).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Configurar la carga:</w:t>
      </w:r>
      <w:r>
        <w:t xml:space="preserve"> copiar </w:t>
      </w:r>
      <w:r>
        <w:rPr>
          <w:rStyle w:val="CodeChar"/>
        </w:rPr>
        <w:t xml:space="preserve">carga\.env.example</w:t>
      </w:r>
      <w:r>
        <w:t xml:space="preserve"> a </w:t>
      </w:r>
      <w:r>
        <w:rPr>
          <w:rStyle w:val="CodeChar"/>
        </w:rPr>
        <w:t xml:space="preserve">carga\.env</w:t>
      </w:r>
      <w:r>
        <w:t xml:space="preserve"> y completar </w:t>
      </w:r>
      <w:r>
        <w:rPr>
          <w:rStyle w:val="CodeChar"/>
        </w:rPr>
        <w:t xml:space="preserve">DB_HOST</w:t>
      </w:r>
      <w:r>
        <w:t xml:space="preserve"> (</w:t>
      </w:r>
      <w:r>
        <w:rPr>
          <w:rStyle w:val="CodeChar"/>
        </w:rPr>
        <w:t xml:space="preserve">localhost</w:t>
      </w:r>
      <w:r>
        <w:t xml:space="preserve">), </w:t>
      </w:r>
      <w:r>
        <w:rPr>
          <w:rStyle w:val="CodeChar"/>
        </w:rPr>
        <w:t xml:space="preserve">DB_ADMIN_USER=comex_admin</w:t>
      </w:r>
      <w:r>
        <w:t xml:space="preserve"> y su clave.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Crear base y tablas:</w:t>
      </w:r>
    </w:p>
    <w:p>
      <w:pPr>
        <w:pStyle w:val="Code"/>
        <w:ind w:left="720"/>
      </w:pPr>
      <w:bookmarkStart w:id="3" w:name="bongo_lang_powershell_3"/>
      <w:bookmarkEnd w:id="3"/>
      <w:r>
        <w:t xml:space="preserve">cd carga ; npm run base ; cd ..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Tablas del KIT y datos de prueba</w:t>
      </w:r>
      <w:r>
        <w:t xml:space="preserve"> (dos meses ficticios con códigos reales):</w:t>
      </w:r>
    </w:p>
    <w:p>
      <w:pPr>
        <w:pStyle w:val="Code"/>
        <w:ind w:left="720"/>
      </w:pPr>
      <w:bookmarkStart w:id="4" w:name="bongo_lang_powershell_4"/>
      <w:bookmarkEnd w:id="4"/>
      <w:r>
        <w:t xml:space="preserve">cmd /c "mysql -u comex_admin -p --default-character-set=utf8mb4 comex &lt; db\02_tablas_sim_kit.sql"</w:t>
        <w:br/>
        <w:t xml:space="preserve">cmd /c "mysql -u comex_admin -p --default-character-set=utf8mb4 comex &lt; db\03_seed_demo.sql"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Tabla de usuarios</w:t>
      </w:r>
      <w:r>
        <w:t xml:space="preserve"> (como </w:t>
      </w:r>
      <w:r>
        <w:rPr>
          <w:rStyle w:val="CodeChar"/>
        </w:rPr>
        <w:t xml:space="preserve">root</w:t>
      </w:r>
      <w:r>
        <w:t xml:space="preserve">): </w:t>
      </w:r>
      <w:r>
        <w:rPr>
          <w:rStyle w:val="CodeChar"/>
        </w:rPr>
        <w:t xml:space="preserve">cmd /c "mysql -u root -p &lt; db\07_usuarios.sql"</w:t>
      </w:r>
      <w:r>
        <w:t xml:space="preserve">. Le da a </w:t>
      </w:r>
      <w:r>
        <w:rPr>
          <w:rStyle w:val="CodeChar"/>
        </w:rPr>
        <w:t xml:space="preserve">comex_api</w:t>
      </w:r>
      <w:r>
        <w:t xml:space="preserve"> permiso de escritura sólo sobre esa tabla.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(Opcional) Datos reales:</w:t>
      </w:r>
      <w:r>
        <w:t xml:space="preserve"> descargar del sitio de ARCA el ZIP mensual de importaciones y cargarlo con </w:t>
      </w:r>
      <w:r>
        <w:rPr>
          <w:rStyle w:val="CodeChar"/>
        </w:rPr>
        <w:t xml:space="preserve">npm run mes -- E:/ARCA/202609.zip</w:t>
      </w:r>
      <w:r>
        <w:t xml:space="preserve"> desde </w:t>
      </w:r>
      <w:r>
        <w:rPr>
          <w:rStyle w:val="CodeChar"/>
        </w:rPr>
        <w:t xml:space="preserve">carga/</w:t>
      </w:r>
      <w:r>
        <w:t xml:space="preserve">. Con </w:t>
      </w:r>
      <w:r>
        <w:rPr>
          <w:rStyle w:val="CodeChar"/>
        </w:rPr>
        <w:t xml:space="preserve">--validar</w:t>
      </w:r>
      <w:r>
        <w:t xml:space="preserve"> sólo controla el archivo, sin cargarlo. Un mes tarda unos minutos y deja un informe en </w:t>
      </w:r>
      <w:r>
        <w:rPr>
          <w:rStyle w:val="CodeChar"/>
        </w:rPr>
        <w:t xml:space="preserve">carga/informes/</w:t>
      </w:r>
      <w:r>
        <w:t xml:space="preserve">.</w:t>
      </w:r>
    </w:p>
    <w:p>
      <w:pPr>
        <w:pStyle w:val="Heading3"/>
      </w:pPr>
      <w:r>
        <w:t xml:space="preserve">5.5 Configurar y ejecutar la API</w:t>
      </w:r>
    </w:p>
    <w:p>
      <w:pPr>
        <w:pStyle w:val="ListParagraph"/>
        <w:numPr>
          <w:ilvl w:val="0"/>
          <w:numId w:val="5"/>
        </w:numPr>
      </w:pPr>
      <w:r>
        <w:t xml:space="preserve">Copiar </w:t>
      </w:r>
      <w:r>
        <w:rPr>
          <w:rStyle w:val="CodeChar"/>
        </w:rPr>
        <w:t xml:space="preserve">api\.env.example</w:t>
      </w:r>
      <w:r>
        <w:t xml:space="preserve"> a </w:t>
      </w:r>
      <w:r>
        <w:rPr>
          <w:rStyle w:val="CodeChar"/>
        </w:rPr>
        <w:t xml:space="preserve">api\.env</w:t>
      </w:r>
      <w:r>
        <w:t xml:space="preserve"> y completar: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99"/>
        <w:gridCol w:w="6160"/>
      </w:tblGrid>
      <w:tr>
        <w:trPr>
          <w:tblHeader/>
        </w:trPr>
        <w:tc>
          <w:tcPr>
            <w:tcW w:w="3199" w:type="dxa"/>
            <w:shd w:val="clear" w:color="auto" w:fill="F2F2F2"/>
          </w:tcPr>
          <w:p>
            <w:pPr/>
            <w:r>
              <w:t xml:space="preserve">Variable</w:t>
            </w:r>
          </w:p>
        </w:tc>
        <w:tc>
          <w:tcPr>
            <w:tcW w:w="6160" w:type="dxa"/>
            <w:shd w:val="clear" w:color="auto" w:fill="F2F2F2"/>
          </w:tcPr>
          <w:p>
            <w:pPr/>
            <w:r>
              <w:t xml:space="preserve">Valor local</w:t>
            </w:r>
          </w:p>
        </w:tc>
      </w:tr>
      <w:tr>
        <w:tc>
          <w:tcPr>
            <w:tcW w:w="3199" w:type="dxa"/>
          </w:tcPr>
          <w:p>
            <w:pPr/>
            <w:r>
              <w:rPr>
                <w:rStyle w:val="CodeChar"/>
              </w:rPr>
              <w:t xml:space="preserve">DB_HOST</w:t>
            </w:r>
            <w:r>
              <w:t xml:space="preserve">, </w:t>
            </w:r>
            <w:r>
              <w:rPr>
                <w:rStyle w:val="CodeChar"/>
              </w:rPr>
              <w:t xml:space="preserve">DB_PORT</w:t>
            </w:r>
          </w:p>
        </w:tc>
        <w:tc>
          <w:tcPr>
            <w:tcW w:w="6160" w:type="dxa"/>
          </w:tcPr>
          <w:p>
            <w:pPr/>
            <w:r>
              <w:rPr>
                <w:rStyle w:val="CodeChar"/>
              </w:rPr>
              <w:t xml:space="preserve">localhost</w:t>
            </w:r>
            <w:r>
              <w:t xml:space="preserve">, </w:t>
            </w:r>
            <w:r>
              <w:rPr>
                <w:rStyle w:val="CodeChar"/>
              </w:rPr>
              <w:t xml:space="preserve">3306</w:t>
            </w:r>
          </w:p>
        </w:tc>
      </w:tr>
      <w:tr>
        <w:tc>
          <w:tcPr>
            <w:tcW w:w="3199" w:type="dxa"/>
          </w:tcPr>
          <w:p>
            <w:pPr/>
            <w:r>
              <w:rPr>
                <w:rStyle w:val="CodeChar"/>
              </w:rPr>
              <w:t xml:space="preserve">DB_USER</w:t>
            </w:r>
            <w:r>
              <w:t xml:space="preserve">, </w:t>
            </w:r>
            <w:r>
              <w:rPr>
                <w:rStyle w:val="CodeChar"/>
              </w:rPr>
              <w:t xml:space="preserve">DB_PASSWORD</w:t>
            </w:r>
          </w:p>
        </w:tc>
        <w:tc>
          <w:tcPr>
            <w:tcW w:w="6160" w:type="dxa"/>
          </w:tcPr>
          <w:p>
            <w:pPr/>
            <w:r>
              <w:rPr>
                <w:rStyle w:val="CodeChar"/>
              </w:rPr>
              <w:t xml:space="preserve">comex_api</w:t>
            </w:r>
            <w:r>
              <w:t xml:space="preserve"> y su clave</w:t>
            </w:r>
          </w:p>
        </w:tc>
      </w:tr>
      <w:tr>
        <w:tc>
          <w:tcPr>
            <w:tcW w:w="3199" w:type="dxa"/>
          </w:tcPr>
          <w:p>
            <w:pPr/>
            <w:r>
              <w:rPr>
                <w:rStyle w:val="CodeChar"/>
              </w:rPr>
              <w:t xml:space="preserve">JWT_SECRET</w:t>
            </w:r>
          </w:p>
        </w:tc>
        <w:tc>
          <w:tcPr>
            <w:tcW w:w="6160" w:type="dxa"/>
          </w:tcPr>
          <w:p>
            <w:pPr/>
            <w:r>
              <w:t xml:space="preserve">Clave al azar de 32 caracteres o más: </w:t>
            </w:r>
            <w:r>
              <w:rPr>
                <w:rStyle w:val="CodeChar"/>
              </w:rPr>
              <w:t xml:space="preserve">node -e "console.log(require('crypto').randomBytes(48).toString('base64'))"</w:t>
            </w:r>
          </w:p>
        </w:tc>
      </w:tr>
      <w:tr>
        <w:tc>
          <w:tcPr>
            <w:tcW w:w="3199" w:type="dxa"/>
          </w:tcPr>
          <w:p>
            <w:pPr/>
            <w:r>
              <w:rPr>
                <w:rStyle w:val="CodeChar"/>
              </w:rPr>
              <w:t xml:space="preserve">AUTH_ENABLED</w:t>
            </w:r>
          </w:p>
        </w:tc>
        <w:tc>
          <w:tcPr>
            <w:tcW w:w="6160" w:type="dxa"/>
          </w:tcPr>
          <w:p>
            <w:pPr/>
            <w:r>
              <w:rPr>
                <w:rStyle w:val="CodeChar"/>
              </w:rPr>
              <w:t xml:space="preserve">true</w:t>
            </w:r>
            <w:r>
              <w:t xml:space="preserve"> para exigir login en todas las consultas (como en producción); </w:t>
            </w:r>
            <w:r>
              <w:rPr>
                <w:rStyle w:val="CodeChar"/>
              </w:rPr>
              <w:t xml:space="preserve">false</w:t>
            </w:r>
            <w:r>
              <w:t xml:space="preserve"> deja las consultas abiertas para probar</w:t>
            </w:r>
          </w:p>
        </w:tc>
      </w:tr>
    </w:tbl>
    <w:p>
      <w:pPr>
        <w:pStyle w:val="ListParagraph"/>
        <w:numPr>
          <w:ilvl w:val="0"/>
          <w:numId w:val="6"/>
        </w:numPr>
      </w:pPr>
      <w:r>
        <w:t xml:space="preserve">Crear el primer administrador (pide la clave sin mostrarla):</w:t>
      </w:r>
    </w:p>
    <w:p>
      <w:pPr>
        <w:pStyle w:val="Code"/>
        <w:ind w:left="720"/>
      </w:pPr>
      <w:bookmarkStart w:id="5" w:name="bongo_lang_powershell_5"/>
      <w:bookmarkEnd w:id="5"/>
      <w:r>
        <w:t xml:space="preserve">cd api</w:t>
        <w:br/>
        <w:t xml:space="preserve">npm run usuario -- --usuario admin --nombre "Administrador" --rol admin</w:t>
      </w:r>
    </w:p>
    <w:p>
      <w:pPr>
        <w:pStyle w:val="ListParagraph"/>
        <w:numPr>
          <w:ilvl w:val="0"/>
          <w:numId w:val="6"/>
        </w:numPr>
      </w:pPr>
      <w:r>
        <w:t xml:space="preserve">Iniciar la API: </w:t>
      </w:r>
      <w:r>
        <w:rPr>
          <w:rStyle w:val="CodeChar"/>
        </w:rPr>
        <w:t xml:space="preserve">npm run dev</w:t>
      </w:r>
      <w:r>
        <w:t xml:space="preserve"> y abrir </w:t>
      </w:r>
      <w:hyperlink r:id="rId7" w:history="1">
        <w:r>
          <w:rPr>
            <w:rStyle w:val="Hyperlink"/>
          </w:rPr>
          <w:t xml:space="preserve">http://localhost:3000/impo.html</w:t>
        </w:r>
      </w:hyperlink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Correr las pruebas: </w:t>
      </w:r>
      <w:r>
        <w:rPr>
          <w:rStyle w:val="CodeChar"/>
        </w:rPr>
        <w:t xml:space="preserve">npm test</w:t>
      </w:r>
      <w:r>
        <w:t xml:space="preserve"> (sección 8).</w:t>
      </w:r>
    </w:p>
    <w:p>
      <w:pPr>
        <w:pStyle w:val="Heading3"/>
      </w:pPr>
      <w:r>
        <w:t xml:space="preserve">5.6 Credenciales de prueba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49"/>
        <w:gridCol w:w="3695"/>
        <w:gridCol w:w="1108"/>
        <w:gridCol w:w="2506"/>
      </w:tblGrid>
      <w:tr>
        <w:trPr>
          <w:tblHeader/>
        </w:trPr>
        <w:tc>
          <w:tcPr>
            <w:tcW w:w="2049" w:type="dxa"/>
            <w:shd w:val="clear" w:color="auto" w:fill="F2F2F2"/>
          </w:tcPr>
          <w:p>
            <w:pPr/>
            <w:r>
              <w:t xml:space="preserve">Entorno</w:t>
            </w:r>
          </w:p>
        </w:tc>
        <w:tc>
          <w:tcPr>
            <w:tcW w:w="3695" w:type="dxa"/>
            <w:shd w:val="clear" w:color="auto" w:fill="F2F2F2"/>
          </w:tcPr>
          <w:p>
            <w:pPr/>
            <w:r>
              <w:t xml:space="preserve">Usuario</w:t>
            </w:r>
          </w:p>
        </w:tc>
        <w:tc>
          <w:tcPr>
            <w:tcW w:w="1108" w:type="dxa"/>
            <w:shd w:val="clear" w:color="auto" w:fill="F2F2F2"/>
          </w:tcPr>
          <w:p>
            <w:pPr/>
            <w:r>
              <w:t xml:space="preserve">Rol</w:t>
            </w:r>
          </w:p>
        </w:tc>
        <w:tc>
          <w:tcPr>
            <w:tcW w:w="2506" w:type="dxa"/>
            <w:shd w:val="clear" w:color="auto" w:fill="F2F2F2"/>
          </w:tcPr>
          <w:p>
            <w:pPr/>
            <w:r>
              <w:t xml:space="preserve">Clave</w:t>
            </w:r>
          </w:p>
        </w:tc>
      </w:tr>
      <w:tr>
        <w:tc>
          <w:tcPr>
            <w:tcW w:w="2049" w:type="dxa"/>
          </w:tcPr>
          <w:p>
            <w:pPr/>
            <w:r>
              <w:t xml:space="preserve">Producción (Render)</w:t>
            </w:r>
          </w:p>
        </w:tc>
        <w:tc>
          <w:tcPr>
            <w:tcW w:w="3695" w:type="dxa"/>
          </w:tcPr>
          <w:p>
            <w:pPr/>
            <w:r>
              <w:t xml:space="preserve">[completar: usuario para docentes]</w:t>
            </w:r>
          </w:p>
        </w:tc>
        <w:tc>
          <w:tcPr>
            <w:tcW w:w="1108" w:type="dxa"/>
          </w:tcPr>
          <w:p>
            <w:pPr/>
            <w:r>
              <w:t xml:space="preserve">consulta</w:t>
            </w:r>
          </w:p>
        </w:tc>
        <w:tc>
          <w:tcPr>
            <w:tcW w:w="2506" w:type="dxa"/>
          </w:tcPr>
          <w:p>
            <w:pPr/>
            <w:r>
              <w:t xml:space="preserve">Se entrega por separado</w:t>
            </w:r>
          </w:p>
        </w:tc>
      </w:tr>
      <w:tr>
        <w:tc>
          <w:tcPr>
            <w:tcW w:w="2049" w:type="dxa"/>
          </w:tcPr>
          <w:p>
            <w:pPr/>
            <w:r>
              <w:t xml:space="preserve">Producción (Render)</w:t>
            </w:r>
          </w:p>
        </w:tc>
        <w:tc>
          <w:tcPr>
            <w:tcW w:w="3695" w:type="dxa"/>
          </w:tcPr>
          <w:p>
            <w:pPr/>
            <w:r>
              <w:t xml:space="preserve">[completar: usuario administrador de prueba]</w:t>
            </w:r>
          </w:p>
        </w:tc>
        <w:tc>
          <w:tcPr>
            <w:tcW w:w="1108" w:type="dxa"/>
          </w:tcPr>
          <w:p>
            <w:pPr/>
            <w:r>
              <w:t xml:space="preserve">admin</w:t>
            </w:r>
          </w:p>
        </w:tc>
        <w:tc>
          <w:tcPr>
            <w:tcW w:w="2506" w:type="dxa"/>
          </w:tcPr>
          <w:p>
            <w:pPr/>
            <w:r>
              <w:t xml:space="preserve">Se entrega por separado</w:t>
            </w:r>
          </w:p>
        </w:tc>
      </w:tr>
      <w:tr>
        <w:tc>
          <w:tcPr>
            <w:tcW w:w="2049" w:type="dxa"/>
          </w:tcPr>
          <w:p>
            <w:pPr/>
            <w:r>
              <w:t xml:space="preserve">Copia local</w:t>
            </w:r>
          </w:p>
        </w:tc>
        <w:tc>
          <w:tcPr>
            <w:tcW w:w="3695" w:type="dxa"/>
          </w:tcPr>
          <w:p>
            <w:pPr/>
            <w:r>
              <w:t xml:space="preserve">El creado en el paso 5.5.2</w:t>
            </w:r>
          </w:p>
        </w:tc>
        <w:tc>
          <w:tcPr>
            <w:tcW w:w="1108" w:type="dxa"/>
          </w:tcPr>
          <w:p>
            <w:pPr/>
            <w:r>
              <w:t xml:space="preserve">admin</w:t>
            </w:r>
          </w:p>
        </w:tc>
        <w:tc>
          <w:tcPr>
            <w:tcW w:w="2506" w:type="dxa"/>
          </w:tcPr>
          <w:p>
            <w:pPr/>
            <w:r>
              <w:t xml:space="preserve">La elegida al crearlo</w:t>
            </w:r>
          </w:p>
        </w:tc>
      </w:tr>
    </w:tbl>
    <w:p>
      <w:pPr/>
      <w:r>
        <w:t xml:space="preserve">Las claves no se escriben en este documento ni en el repositorio, que es público.</w:t>
      </w:r>
    </w:p>
    <w:p>
      <w:pPr>
        <w:pStyle w:val="Heading2"/>
      </w:pPr>
      <w:r>
        <w:t xml:space="preserve">6. Componentes principales</w:t>
      </w:r>
    </w:p>
    <w:p>
      <w:pPr>
        <w:pStyle w:val="Heading3"/>
      </w:pPr>
      <w:r>
        <w:t xml:space="preserve">6.1 Carga mensual (</w:t>
      </w:r>
      <w:r>
        <w:rPr>
          <w:rStyle w:val="CodeChar"/>
        </w:rPr>
        <w:t xml:space="preserve">carga/</w:t>
      </w:r>
      <w:r>
        <w:t xml:space="preserve">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308"/>
        <w:gridCol w:w="5051"/>
      </w:tblGrid>
      <w:tr>
        <w:trPr>
          <w:tblHeader/>
        </w:trPr>
        <w:tc>
          <w:tcPr>
            <w:tcW w:w="4308" w:type="dxa"/>
            <w:shd w:val="clear" w:color="auto" w:fill="F2F2F2"/>
          </w:tcPr>
          <w:p>
            <w:pPr/>
            <w:r>
              <w:t xml:space="preserve">Comando</w:t>
            </w:r>
          </w:p>
        </w:tc>
        <w:tc>
          <w:tcPr>
            <w:tcW w:w="5051" w:type="dxa"/>
            <w:shd w:val="clear" w:color="auto" w:fill="F2F2F2"/>
          </w:tcPr>
          <w:p>
            <w:pPr/>
            <w:r>
              <w:t xml:space="preserve">Qué hace</w:t>
            </w:r>
          </w:p>
        </w:tc>
      </w:tr>
      <w:tr>
        <w:tc>
          <w:tcPr>
            <w:tcW w:w="4308" w:type="dxa"/>
          </w:tcPr>
          <w:p>
            <w:pPr/>
            <w:r>
              <w:rPr>
                <w:rStyle w:val="CodeChar"/>
              </w:rPr>
              <w:t xml:space="preserve">npm run base</w:t>
            </w:r>
          </w:p>
        </w:tc>
        <w:tc>
          <w:tcPr>
            <w:tcW w:w="5051" w:type="dxa"/>
          </w:tcPr>
          <w:p>
            <w:pPr/>
            <w:r>
              <w:t xml:space="preserve">Crea la base y las tablas (</w:t>
            </w:r>
            <w:r>
              <w:rPr>
                <w:rStyle w:val="CodeChar"/>
              </w:rPr>
              <w:t xml:space="preserve">db/01_schema.sql</w:t>
            </w:r>
            <w:r>
              <w:t xml:space="preserve">) y actualiza las de la matriz (</w:t>
            </w:r>
            <w:r>
              <w:rPr>
                <w:rStyle w:val="CodeChar"/>
              </w:rPr>
              <w:t xml:space="preserve">db/06_matriz.sql</w:t>
            </w:r>
            <w:r>
              <w:t xml:space="preserve">). Si la base existe, no borra datos; </w:t>
            </w:r>
            <w:r>
              <w:rPr>
                <w:rStyle w:val="CodeChar"/>
              </w:rPr>
              <w:t xml:space="preserve">--recrear</w:t>
            </w:r>
            <w:r>
              <w:t xml:space="preserve"> la borra y la crea de nuevo</w:t>
            </w:r>
          </w:p>
        </w:tc>
      </w:tr>
      <w:tr>
        <w:tc>
          <w:tcPr>
            <w:tcW w:w="4308" w:type="dxa"/>
          </w:tcPr>
          <w:p>
            <w:pPr/>
            <w:r>
              <w:rPr>
                <w:rStyle w:val="CodeChar"/>
              </w:rPr>
              <w:t xml:space="preserve">npm run kit</w:t>
            </w:r>
          </w:p>
        </w:tc>
        <w:tc>
          <w:tcPr>
            <w:tcW w:w="5051" w:type="dxa"/>
          </w:tcPr>
          <w:p>
            <w:pPr/>
            <w:r>
              <w:t xml:space="preserve">Lee </w:t>
            </w:r>
            <w:r>
              <w:rPr>
                <w:rStyle w:val="CodeChar"/>
              </w:rPr>
              <w:t xml:space="preserve">Kit.mdb</w:t>
            </w:r>
            <w:r>
              <w:t xml:space="preserve"> directamente (sin Access ni ODBC) y agrega o actualiza los códigos; no borra nada</w:t>
            </w:r>
          </w:p>
        </w:tc>
      </w:tr>
      <w:tr>
        <w:tc>
          <w:tcPr>
            <w:tcW w:w="4308" w:type="dxa"/>
          </w:tcPr>
          <w:p>
            <w:pPr/>
            <w:r>
              <w:rPr>
                <w:rStyle w:val="CodeChar"/>
              </w:rPr>
              <w:t xml:space="preserve">npm run mes -- archivo.zip</w:t>
            </w:r>
          </w:p>
        </w:tc>
        <w:tc>
          <w:tcPr>
            <w:tcW w:w="5051" w:type="dxa"/>
          </w:tcPr>
          <w:p>
            <w:pPr/>
            <w:r>
              <w:t xml:space="preserve">Lee </w:t>
            </w:r>
            <w:r>
              <w:rPr>
                <w:rStyle w:val="CodeChar"/>
              </w:rPr>
              <w:t xml:space="preserve">impo_AAAAMM.lst</w:t>
            </w:r>
            <w:r>
              <w:t xml:space="preserve"> dentro del ZIP sin descomprimirlo, limpia encabezados y relleno, lo envía en lotes a </w:t>
            </w:r>
            <w:r>
              <w:rPr>
                <w:rStyle w:val="CodeChar"/>
              </w:rPr>
              <w:t xml:space="preserve">stg_impo</w:t>
            </w:r>
            <w:r>
              <w:t xml:space="preserve">, controla que el período coincida con el nombre del archivo y ejecuta las validaciones y la carga definida en </w:t>
            </w:r>
            <w:r>
              <w:rPr>
                <w:rStyle w:val="CodeChar"/>
              </w:rPr>
              <w:t xml:space="preserve">lib/pasos-mes.js</w:t>
            </w:r>
          </w:p>
        </w:tc>
      </w:tr>
      <w:tr>
        <w:tc>
          <w:tcPr>
            <w:tcW w:w="4308" w:type="dxa"/>
          </w:tcPr>
          <w:p>
            <w:pPr/>
            <w:r>
              <w:rPr>
                <w:rStyle w:val="CodeChar"/>
              </w:rPr>
              <w:t xml:space="preserve">npm run tidb -- --periodos 202609</w:t>
            </w:r>
          </w:p>
        </w:tc>
        <w:tc>
          <w:tcPr>
            <w:tcW w:w="5051" w:type="dxa"/>
          </w:tcPr>
          <w:p>
            <w:pPr/>
            <w:r>
              <w:t xml:space="preserve">Copia períodos a TiDB por bloques, reanuda si se corta y compara la cantidad de filas de cada tabla en las dos bases. </w:t>
            </w:r>
            <w:r>
              <w:rPr>
                <w:rStyle w:val="CodeChar"/>
              </w:rPr>
              <w:t xml:space="preserve">--esquema</w:t>
            </w:r>
            <w:r>
              <w:t xml:space="preserve"> crea las tablas, </w:t>
            </w:r>
            <w:r>
              <w:rPr>
                <w:rStyle w:val="CodeChar"/>
              </w:rPr>
              <w:t xml:space="preserve">--fijas</w:t>
            </w:r>
            <w:r>
              <w:t xml:space="preserve"> copia el KIT, </w:t>
            </w:r>
            <w:r>
              <w:rPr>
                <w:rStyle w:val="CodeChar"/>
              </w:rPr>
              <w:t xml:space="preserve">--reemplazar</w:t>
            </w:r>
            <w:r>
              <w:t xml:space="preserve"> vuelve a copiar un mes</w:t>
            </w:r>
          </w:p>
        </w:tc>
      </w:tr>
    </w:tbl>
    <w:p>
      <w:pPr/>
      <w:r>
        <w:t xml:space="preserve">Las validaciones de la carga (dígito verificador, unicidad, FOB contra factura, códigos que no están en el KIT) se informan como “ok” o “REVISAR” en el informe del mes, sin frenar la carga. Sólo la cancela un archivo con más de un período o con un período distinto al del nombre.</w:t>
      </w:r>
    </w:p>
    <w:p>
      <w:pPr>
        <w:pStyle w:val="Heading3"/>
      </w:pPr>
      <w:r>
        <w:t xml:space="preserve">6.2 API REST (</w:t>
      </w:r>
      <w:r>
        <w:rPr>
          <w:rStyle w:val="CodeChar"/>
        </w:rPr>
        <w:t xml:space="preserve">api/src/</w:t>
      </w:r>
      <w:r>
        <w:t xml:space="preserve">)</w:t>
      </w:r>
    </w:p>
    <w:p>
      <w:pPr/>
      <w:r>
        <w:t xml:space="preserve">Todas las rutas cuelgan de </w:t>
      </w:r>
      <w:r>
        <w:rPr>
          <w:rStyle w:val="CodeChar"/>
        </w:rPr>
        <w:t xml:space="preserve">/api</w:t>
      </w:r>
      <w:r>
        <w:t xml:space="preserve"> y responden JSON. El detalle de parámetros y respuestas está en </w:t>
      </w:r>
      <w:r>
        <w:rPr>
          <w:rStyle w:val="CodeChar"/>
        </w:rPr>
        <w:t xml:space="preserve">docs/API.md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58"/>
        <w:gridCol w:w="1397"/>
        <w:gridCol w:w="4505"/>
      </w:tblGrid>
      <w:tr>
        <w:trPr>
          <w:tblHeader/>
        </w:trPr>
        <w:tc>
          <w:tcPr>
            <w:tcW w:w="3458" w:type="dxa"/>
            <w:shd w:val="clear" w:color="auto" w:fill="F2F2F2"/>
          </w:tcPr>
          <w:p>
            <w:pPr/>
            <w:r>
              <w:t xml:space="preserve">Ruta</w:t>
            </w:r>
          </w:p>
        </w:tc>
        <w:tc>
          <w:tcPr>
            <w:tcW w:w="1397" w:type="dxa"/>
            <w:shd w:val="clear" w:color="auto" w:fill="F2F2F2"/>
          </w:tcPr>
          <w:p>
            <w:pPr/>
            <w:r>
              <w:t xml:space="preserve">Acceso</w:t>
            </w:r>
          </w:p>
        </w:tc>
        <w:tc>
          <w:tcPr>
            <w:tcW w:w="4505" w:type="dxa"/>
            <w:shd w:val="clear" w:color="auto" w:fill="F2F2F2"/>
          </w:tcPr>
          <w:p>
            <w:pPr/>
            <w:r>
              <w:t xml:space="preserve">Qué devuelve</w:t>
            </w:r>
          </w:p>
        </w:tc>
      </w:tr>
      <w:tr>
        <w:tc>
          <w:tcPr>
            <w:tcW w:w="3458" w:type="dxa"/>
          </w:tcPr>
          <w:p>
            <w:pPr/>
            <w:r>
              <w:rPr>
                <w:rStyle w:val="CodeChar"/>
              </w:rPr>
              <w:t xml:space="preserve">POST /auth/login</w:t>
            </w:r>
          </w:p>
        </w:tc>
        <w:tc>
          <w:tcPr>
            <w:tcW w:w="1397" w:type="dxa"/>
          </w:tcPr>
          <w:p>
            <w:pPr/>
            <w:r>
              <w:t xml:space="preserve">Libre</w:t>
            </w:r>
          </w:p>
        </w:tc>
        <w:tc>
          <w:tcPr>
            <w:tcW w:w="4505" w:type="dxa"/>
          </w:tcPr>
          <w:p>
            <w:pPr/>
            <w:r>
              <w:t xml:space="preserve">Token JWT (8 horas) y datos del usuario</w:t>
            </w:r>
          </w:p>
        </w:tc>
      </w:tr>
      <w:tr>
        <w:tc>
          <w:tcPr>
            <w:tcW w:w="3458" w:type="dxa"/>
          </w:tcPr>
          <w:p>
            <w:pPr/>
            <w:r>
              <w:rPr>
                <w:rStyle w:val="CodeChar"/>
              </w:rPr>
              <w:t xml:space="preserve">GET /auth/yo</w:t>
            </w:r>
            <w:r>
              <w:t xml:space="preserve">, </w:t>
            </w:r>
            <w:r>
              <w:rPr>
                <w:rStyle w:val="CodeChar"/>
              </w:rPr>
              <w:t xml:space="preserve">POST /auth/clave</w:t>
            </w:r>
          </w:p>
        </w:tc>
        <w:tc>
          <w:tcPr>
            <w:tcW w:w="1397" w:type="dxa"/>
          </w:tcPr>
          <w:p>
            <w:pPr/>
            <w:r>
              <w:t xml:space="preserve">Con sesión</w:t>
            </w:r>
          </w:p>
        </w:tc>
        <w:tc>
          <w:tcPr>
            <w:tcW w:w="4505" w:type="dxa"/>
          </w:tcPr>
          <w:p>
            <w:pPr/>
            <w:r>
              <w:t xml:space="preserve">Datos propios; cambio de la clave propia</w:t>
            </w:r>
          </w:p>
        </w:tc>
      </w:tr>
      <w:tr>
        <w:tc>
          <w:tcPr>
            <w:tcW w:w="3458" w:type="dxa"/>
          </w:tcPr>
          <w:p>
            <w:pPr/>
            <w:r>
              <w:rPr>
                <w:rStyle w:val="CodeChar"/>
              </w:rPr>
              <w:t xml:space="preserve">GET, POST /auth/usuarios</w:t>
            </w:r>
            <w:r>
              <w:t xml:space="preserve">, </w:t>
            </w:r>
            <w:r>
              <w:rPr>
                <w:rStyle w:val="CodeChar"/>
              </w:rPr>
              <w:t xml:space="preserve">PATCH, DELETE /auth/usuarios/:id</w:t>
            </w:r>
          </w:p>
        </w:tc>
        <w:tc>
          <w:tcPr>
            <w:tcW w:w="1397" w:type="dxa"/>
          </w:tcPr>
          <w:p>
            <w:pPr/>
            <w:r>
              <w:t xml:space="preserve">Admin</w:t>
            </w:r>
          </w:p>
        </w:tc>
        <w:tc>
          <w:tcPr>
            <w:tcW w:w="4505" w:type="dxa"/>
          </w:tcPr>
          <w:p>
            <w:pPr/>
            <w:r>
              <w:t xml:space="preserve">CRUD de usuarios</w:t>
            </w:r>
          </w:p>
        </w:tc>
      </w:tr>
      <w:tr>
        <w:tc>
          <w:tcPr>
            <w:tcW w:w="3458" w:type="dxa"/>
          </w:tcPr>
          <w:p>
            <w:pPr/>
            <w:r>
              <w:rPr>
                <w:rStyle w:val="CodeChar"/>
              </w:rPr>
              <w:t xml:space="preserve">GET /impo/periodos</w:t>
            </w:r>
            <w:r>
              <w:t xml:space="preserve">, </w:t>
            </w:r>
            <w:r>
              <w:rPr>
                <w:rStyle w:val="CodeChar"/>
              </w:rPr>
              <w:t xml:space="preserve">/impo/catalogos</w:t>
            </w:r>
          </w:p>
        </w:tc>
        <w:tc>
          <w:tcPr>
            <w:tcW w:w="1397" w:type="dxa"/>
          </w:tcPr>
          <w:p>
            <w:pPr/>
            <w:r>
              <w:t xml:space="preserve">Consulta</w:t>
            </w:r>
          </w:p>
        </w:tc>
        <w:tc>
          <w:tcPr>
            <w:tcW w:w="4505" w:type="dxa"/>
          </w:tcPr>
          <w:p>
            <w:pPr/>
            <w:r>
              <w:t xml:space="preserve">Meses cargados; regiones, países y aduanas para los filtros</w:t>
            </w:r>
          </w:p>
        </w:tc>
      </w:tr>
      <w:tr>
        <w:tc>
          <w:tcPr>
            <w:tcW w:w="3458" w:type="dxa"/>
          </w:tcPr>
          <w:p>
            <w:pPr/>
            <w:r>
              <w:rPr>
                <w:rStyle w:val="CodeChar"/>
              </w:rPr>
              <w:t xml:space="preserve">GET /impo/despachos</w:t>
            </w:r>
            <w:r>
              <w:t xml:space="preserve">, </w:t>
            </w:r>
            <w:r>
              <w:rPr>
                <w:rStyle w:val="CodeChar"/>
              </w:rPr>
              <w:t xml:space="preserve">/impo/despachos/:nro</w:t>
            </w:r>
          </w:p>
        </w:tc>
        <w:tc>
          <w:tcPr>
            <w:tcW w:w="1397" w:type="dxa"/>
          </w:tcPr>
          <w:p>
            <w:pPr/>
            <w:r>
              <w:t xml:space="preserve">Consulta</w:t>
            </w:r>
          </w:p>
        </w:tc>
        <w:tc>
          <w:tcPr>
            <w:tcW w:w="4505" w:type="dxa"/>
          </w:tcPr>
          <w:p>
            <w:pPr/>
            <w:r>
              <w:t xml:space="preserve">Últimos despachos; detalle con ítems y liquidación</w:t>
            </w:r>
          </w:p>
        </w:tc>
      </w:tr>
      <w:tr>
        <w:tc>
          <w:tcPr>
            <w:tcW w:w="3458" w:type="dxa"/>
          </w:tcPr>
          <w:p>
            <w:pPr/>
            <w:r>
              <w:rPr>
                <w:rStyle w:val="CodeChar"/>
              </w:rPr>
              <w:t xml:space="preserve">GET /impo/subpartidas</w:t>
            </w:r>
          </w:p>
        </w:tc>
        <w:tc>
          <w:tcPr>
            <w:tcW w:w="1397" w:type="dxa"/>
          </w:tcPr>
          <w:p>
            <w:pPr/>
            <w:r>
              <w:t xml:space="preserve">Consulta</w:t>
            </w:r>
          </w:p>
        </w:tc>
        <w:tc>
          <w:tcPr>
            <w:tcW w:w="4505" w:type="dxa"/>
          </w:tcPr>
          <w:p>
            <w:pPr/>
            <w:r>
              <w:t xml:space="preserve">Resumen por NCM dentro de un rango</w:t>
            </w:r>
          </w:p>
        </w:tc>
      </w:tr>
      <w:tr>
        <w:tc>
          <w:tcPr>
            <w:tcW w:w="3458" w:type="dxa"/>
          </w:tcPr>
          <w:p>
            <w:pPr/>
            <w:r>
              <w:rPr>
                <w:rStyle w:val="CodeChar"/>
              </w:rPr>
              <w:t xml:space="preserve">GET /impo/ncm/:ncm/precios</w:t>
            </w:r>
            <w:r>
              <w:t xml:space="preserve">, </w:t>
            </w:r>
            <w:r>
              <w:rPr>
                <w:rStyle w:val="CodeChar"/>
              </w:rPr>
              <w:t xml:space="preserve">/valores-bajos</w:t>
            </w:r>
          </w:p>
        </w:tc>
        <w:tc>
          <w:tcPr>
            <w:tcW w:w="1397" w:type="dxa"/>
          </w:tcPr>
          <w:p>
            <w:pPr/>
            <w:r>
              <w:t xml:space="preserve">Consulta</w:t>
            </w:r>
          </w:p>
        </w:tc>
        <w:tc>
          <w:tcPr>
            <w:tcW w:w="4505" w:type="dxa"/>
          </w:tcPr>
          <w:p>
            <w:pPr/>
            <w:r>
              <w:t xml:space="preserve">Precios por origen y alertas de valores bajos, por partida, subpartida o NCM, con filtros de origen, procedencia, aduana y períodos</w:t>
            </w:r>
          </w:p>
        </w:tc>
      </w:tr>
      <w:tr>
        <w:tc>
          <w:tcPr>
            <w:tcW w:w="3458" w:type="dxa"/>
          </w:tcPr>
          <w:p>
            <w:pPr/>
            <w:r>
              <w:rPr>
                <w:rStyle w:val="CodeChar"/>
              </w:rPr>
              <w:t xml:space="preserve">GET /impo/importadores</w:t>
            </w:r>
            <w:r>
              <w:t xml:space="preserve">, </w:t>
            </w:r>
            <w:r>
              <w:rPr>
                <w:rStyle w:val="CodeChar"/>
              </w:rPr>
              <w:t xml:space="preserve">/impo/triangulaciones</w:t>
            </w:r>
            <w:r>
              <w:t xml:space="preserve">, </w:t>
            </w:r>
            <w:r>
              <w:rPr>
                <w:rStyle w:val="CodeChar"/>
              </w:rPr>
              <w:t xml:space="preserve">/impo/matriz</w:t>
            </w:r>
          </w:p>
        </w:tc>
        <w:tc>
          <w:tcPr>
            <w:tcW w:w="1397" w:type="dxa"/>
          </w:tcPr>
          <w:p>
            <w:pPr/>
            <w:r>
              <w:t xml:space="preserve">Consulta</w:t>
            </w:r>
          </w:p>
        </w:tc>
        <w:tc>
          <w:tcPr>
            <w:tcW w:w="4505" w:type="dxa"/>
          </w:tcPr>
          <w:p>
            <w:pPr/>
            <w:r>
              <w:t xml:space="preserve">Importadores; origen distinto de procedencia; FOB por sección o capítulo y mes</w:t>
            </w:r>
          </w:p>
        </w:tc>
      </w:tr>
      <w:tr>
        <w:tc>
          <w:tcPr>
            <w:tcW w:w="3458" w:type="dxa"/>
          </w:tcPr>
          <w:p>
            <w:pPr/>
            <w:r>
              <w:rPr>
                <w:rStyle w:val="CodeChar"/>
              </w:rPr>
              <w:t xml:space="preserve">GET /impo/sugerencias/despachos</w:t>
            </w:r>
            <w:r>
              <w:t xml:space="preserve">, </w:t>
            </w:r>
            <w:r>
              <w:rPr>
                <w:rStyle w:val="CodeChar"/>
              </w:rPr>
              <w:t xml:space="preserve">/ncm</w:t>
            </w:r>
            <w:r>
              <w:t xml:space="preserve">, </w:t>
            </w:r>
            <w:r>
              <w:rPr>
                <w:rStyle w:val="CodeChar"/>
              </w:rPr>
              <w:t xml:space="preserve">/importadores</w:t>
            </w:r>
          </w:p>
        </w:tc>
        <w:tc>
          <w:tcPr>
            <w:tcW w:w="1397" w:type="dxa"/>
          </w:tcPr>
          <w:p>
            <w:pPr/>
            <w:r>
              <w:t xml:space="preserve">Consulta</w:t>
            </w:r>
          </w:p>
        </w:tc>
        <w:tc>
          <w:tcPr>
            <w:tcW w:w="4505" w:type="dxa"/>
          </w:tcPr>
          <w:p>
            <w:pPr/>
            <w:r>
              <w:t xml:space="preserve">Hasta 15 sugerencias para el autocompletado</w:t>
            </w:r>
          </w:p>
        </w:tc>
      </w:tr>
      <w:tr>
        <w:tc>
          <w:tcPr>
            <w:tcW w:w="3458" w:type="dxa"/>
          </w:tcPr>
          <w:p>
            <w:pPr/>
            <w:r>
              <w:rPr>
                <w:rStyle w:val="CodeChar"/>
              </w:rPr>
              <w:t xml:space="preserve">GET /consultas</w:t>
            </w:r>
            <w:r>
              <w:t xml:space="preserve">, </w:t>
            </w:r>
            <w:r>
              <w:rPr>
                <w:rStyle w:val="CodeChar"/>
              </w:rPr>
              <w:t xml:space="preserve">/consultas/:nombre</w:t>
            </w:r>
          </w:p>
        </w:tc>
        <w:tc>
          <w:tcPr>
            <w:tcW w:w="1397" w:type="dxa"/>
          </w:tcPr>
          <w:p>
            <w:pPr/>
            <w:r>
              <w:t xml:space="preserve">Consulta</w:t>
            </w:r>
          </w:p>
        </w:tc>
        <w:tc>
          <w:tcPr>
            <w:tcW w:w="4505" w:type="dxa"/>
          </w:tcPr>
          <w:p>
            <w:pPr/>
            <w:r>
              <w:t xml:space="preserve">Consultas guardadas con parámetros</w:t>
            </w:r>
          </w:p>
        </w:tc>
      </w:tr>
      <w:tr>
        <w:tc>
          <w:tcPr>
            <w:tcW w:w="3458" w:type="dxa"/>
          </w:tcPr>
          <w:p>
            <w:pPr/>
            <w:r>
              <w:rPr>
                <w:rStyle w:val="CodeChar"/>
              </w:rPr>
              <w:t xml:space="preserve">POST /consultas/sql</w:t>
            </w:r>
          </w:p>
        </w:tc>
        <w:tc>
          <w:tcPr>
            <w:tcW w:w="1397" w:type="dxa"/>
          </w:tcPr>
          <w:p>
            <w:pPr/>
            <w:r>
              <w:t xml:space="preserve">Admin</w:t>
            </w:r>
          </w:p>
        </w:tc>
        <w:tc>
          <w:tcPr>
            <w:tcW w:w="4505" w:type="dxa"/>
          </w:tcPr>
          <w:p>
            <w:pPr/>
            <w:r>
              <w:t xml:space="preserve">SQL libre de sólo lectura: hasta 5.000 filas y 30 segundos</w:t>
            </w:r>
          </w:p>
        </w:tc>
      </w:tr>
    </w:tbl>
    <w:p>
      <w:pPr/>
      <w:r>
        <w:t xml:space="preserve">“Consulta” significa: con token si </w:t>
      </w:r>
      <w:r>
        <w:rPr>
          <w:rStyle w:val="CodeChar"/>
        </w:rPr>
        <w:t xml:space="preserve">AUTH_ENABLED=true</w:t>
      </w:r>
      <w:r>
        <w:t xml:space="preserve">, libre si es </w:t>
      </w:r>
      <w:r>
        <w:rPr>
          <w:rStyle w:val="CodeChar"/>
        </w:rPr>
        <w:t xml:space="preserve">false</w:t>
      </w:r>
      <w:r>
        <w:t xml:space="preserve">. Las rutas de administración y el SQL libre exigen token de administrador siempre.</w:t>
      </w:r>
    </w:p>
    <w:p>
      <w:pPr/>
      <w:r>
        <w:t xml:space="preserve">Módulos clave: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  <w:b/>
          <w:bCs/>
        </w:rPr>
        <w:t xml:space="preserve">middlewares/auth.js</w:t>
      </w:r>
      <w:r>
        <w:t xml:space="preserve">: </w:t>
      </w:r>
      <w:r>
        <w:rPr>
          <w:rStyle w:val="CodeChar"/>
        </w:rPr>
        <w:t xml:space="preserve">firmarToken()</w:t>
      </w:r>
      <w:r>
        <w:t xml:space="preserve"> emite el JWT; </w:t>
      </w:r>
      <w:r>
        <w:rPr>
          <w:rStyle w:val="CodeChar"/>
        </w:rPr>
        <w:t xml:space="preserve">requireAuth</w:t>
      </w:r>
      <w:r>
        <w:t xml:space="preserve">, </w:t>
      </w:r>
      <w:r>
        <w:rPr>
          <w:rStyle w:val="CodeChar"/>
        </w:rPr>
        <w:t xml:space="preserve">requireLogin</w:t>
      </w:r>
      <w:r>
        <w:t xml:space="preserve"> y </w:t>
      </w:r>
      <w:r>
        <w:rPr>
          <w:rStyle w:val="CodeChar"/>
        </w:rPr>
        <w:t xml:space="preserve">requireRol('admin')</w:t>
      </w:r>
      <w:r>
        <w:t xml:space="preserve"> lo verifican. En cada pedido confirma en la base, como mucho una vez por minuto, que el usuario siga activo y con el mismo rol.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  <w:b/>
          <w:bCs/>
        </w:rPr>
        <w:t xml:space="preserve">controllers/auth.controller.js</w:t>
      </w:r>
      <w:r>
        <w:t xml:space="preserve">: login con bloqueo de 5 intentos fallidos en 15 minutos por usuario e IP; claves con bcrypt; no permite dejar el sistema sin administradores activos.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  <w:b/>
          <w:bCs/>
        </w:rPr>
        <w:t xml:space="preserve">models/impo.model.js</w:t>
      </w:r>
      <w:r>
        <w:t xml:space="preserve">: todas las consultas con parámetros (</w:t>
      </w:r>
      <w:r>
        <w:rPr>
          <w:rStyle w:val="CodeChar"/>
        </w:rPr>
        <w:t xml:space="preserve">?</w:t>
      </w:r>
      <w:r>
        <w:t xml:space="preserve">), nunca con texto del usuario concatenado. </w:t>
      </w:r>
      <w:r>
        <w:rPr>
          <w:rStyle w:val="CodeChar"/>
        </w:rPr>
        <w:t xml:space="preserve">posicionesDe()</w:t>
      </w:r>
      <w:r>
        <w:t xml:space="preserve"> resuelve partida, subpartida o NCM a la lista de posiciones del KIT.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  <w:b/>
          <w:bCs/>
        </w:rPr>
        <w:t xml:space="preserve">models/consultas.model.js</w:t>
      </w:r>
      <w:r>
        <w:t xml:space="preserve">: consultas guardadas (</w:t>
      </w:r>
      <w:r>
        <w:rPr>
          <w:rStyle w:val="CodeChar"/>
        </w:rPr>
        <w:t xml:space="preserve">src/consultas/*.sql</w:t>
      </w:r>
      <w:r>
        <w:t xml:space="preserve">) y SQL libre; lee las filas de a una y corta al llegar al límite.</w:t>
      </w:r>
    </w:p>
    <w:p>
      <w:pPr>
        <w:pStyle w:val="Heading3"/>
      </w:pPr>
      <w:r>
        <w:t xml:space="preserve">6.3 Página de consulta (</w:t>
      </w:r>
      <w:r>
        <w:rPr>
          <w:rStyle w:val="CodeChar"/>
        </w:rPr>
        <w:t xml:space="preserve">api/public/</w:t>
      </w:r>
      <w:r>
        <w:t xml:space="preserve">)</w:t>
      </w:r>
    </w:p>
    <w:p>
      <w:pPr/>
      <w:r>
        <w:t xml:space="preserve">Una sola página con pestañas (Bootstrap 5). </w:t>
      </w:r>
      <w:r>
        <w:rPr>
          <w:rStyle w:val="CodeChar"/>
        </w:rPr>
        <w:t xml:space="preserve">js/impo.js</w:t>
      </w:r>
      <w:r>
        <w:t xml:space="preserve"> tiene una función </w:t>
      </w:r>
      <w:r>
        <w:rPr>
          <w:rStyle w:val="CodeChar"/>
        </w:rPr>
        <w:t xml:space="preserve">api()</w:t>
      </w:r>
      <w:r>
        <w:t xml:space="preserve"> para las consultas y otra </w:t>
      </w:r>
      <w:r>
        <w:rPr>
          <w:rStyle w:val="CodeChar"/>
        </w:rPr>
        <w:t xml:space="preserve">enviar()</w:t>
      </w:r>
      <w:r>
        <w:t xml:space="preserve"> para altas, cambios y bajas; las dos agregan el token y, si la API responde 401, abren el login y repiten el pedido. La función </w:t>
      </w:r>
      <w:r>
        <w:rPr>
          <w:rStyle w:val="CodeChar"/>
        </w:rPr>
        <w:t xml:space="preserve">autocompletar()</w:t>
      </w:r>
      <w:r>
        <w:t xml:space="preserve"> agrega la lista de sugerencias a un campo. La pestaña Usuarios sólo se muestra a los administradores, y la API vuelve a controlarlo.</w:t>
      </w:r>
    </w:p>
    <w:p>
      <w:pPr>
        <w:pStyle w:val="Heading2"/>
      </w:pPr>
      <w:r>
        <w:t xml:space="preserve">7. Gestión de errores y validaciones</w:t>
      </w:r>
    </w:p>
    <w:p>
      <w:pPr/>
      <w:r>
        <w:t xml:space="preserve">Toda respuesta de error tiene la forma </w:t>
      </w:r>
      <w:r>
        <w:rPr>
          <w:rStyle w:val="CodeChar"/>
        </w:rPr>
        <w:t xml:space="preserve">{ "error": "mensaje para mostrar" }</w:t>
      </w:r>
      <w:r>
        <w:t xml:space="preserve"> con su código HTTP, y la página muestra ese mensaje tal cual. Los controladores lanzan </w:t>
      </w:r>
      <w:r>
        <w:rPr>
          <w:rStyle w:val="CodeChar"/>
        </w:rPr>
        <w:t xml:space="preserve">HttpError(código, mensaje)</w:t>
      </w:r>
      <w:r>
        <w:t xml:space="preserve"> y </w:t>
      </w:r>
      <w:r>
        <w:rPr>
          <w:rStyle w:val="CodeChar"/>
        </w:rPr>
        <w:t xml:space="preserve">middlewares/errors.js</w:t>
      </w:r>
      <w:r>
        <w:t xml:space="preserve"> arma la respuesta en un solo lugar.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61"/>
        <w:gridCol w:w="3479"/>
        <w:gridCol w:w="4920"/>
      </w:tblGrid>
      <w:tr>
        <w:trPr>
          <w:tblHeader/>
        </w:trPr>
        <w:tc>
          <w:tcPr>
            <w:tcW w:w="961" w:type="dxa"/>
            <w:shd w:val="clear" w:color="auto" w:fill="F2F2F2"/>
          </w:tcPr>
          <w:p>
            <w:pPr/>
            <w:r>
              <w:t xml:space="preserve">Código</w:t>
            </w:r>
          </w:p>
        </w:tc>
        <w:tc>
          <w:tcPr>
            <w:tcW w:w="3479" w:type="dxa"/>
            <w:shd w:val="clear" w:color="auto" w:fill="F2F2F2"/>
          </w:tcPr>
          <w:p>
            <w:pPr/>
            <w:r>
              <w:t xml:space="preserve">Cuándo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Ejemplo de mensaje</w:t>
            </w:r>
          </w:p>
        </w:tc>
      </w:tr>
      <w:tr>
        <w:tc>
          <w:tcPr>
            <w:tcW w:w="961" w:type="dxa"/>
          </w:tcPr>
          <w:p>
            <w:pPr/>
            <w:r>
              <w:t xml:space="preserve">400</w:t>
            </w:r>
          </w:p>
        </w:tc>
        <w:tc>
          <w:tcPr>
            <w:tcW w:w="3479" w:type="dxa"/>
          </w:tcPr>
          <w:p>
            <w:pPr/>
            <w:r>
              <w:t xml:space="preserve">Dato inválido u obligatorio vacío</w:t>
            </w:r>
          </w:p>
        </w:tc>
        <w:tc>
          <w:tcPr>
            <w:tcW w:w="4920" w:type="dxa"/>
          </w:tcPr>
          <w:p>
            <w:pPr/>
            <w:r>
              <w:t xml:space="preserve">“Indicá una partida completa (8471), una subpartida (8471.30) o una NCM (8471.30.12).”</w:t>
            </w:r>
          </w:p>
        </w:tc>
      </w:tr>
      <w:tr>
        <w:tc>
          <w:tcPr>
            <w:tcW w:w="961" w:type="dxa"/>
          </w:tcPr>
          <w:p>
            <w:pPr/>
            <w:r>
              <w:t xml:space="preserve">401</w:t>
            </w:r>
          </w:p>
        </w:tc>
        <w:tc>
          <w:tcPr>
            <w:tcW w:w="3479" w:type="dxa"/>
          </w:tcPr>
          <w:p>
            <w:pPr/>
            <w:r>
              <w:t xml:space="preserve">Sin sesión, token vencido o usuario desactivado; usuario o clave incorrectos</w:t>
            </w:r>
          </w:p>
        </w:tc>
        <w:tc>
          <w:tcPr>
            <w:tcW w:w="4920" w:type="dxa"/>
          </w:tcPr>
          <w:p>
            <w:pPr/>
            <w:r>
              <w:t xml:space="preserve">“La sesión venció; volvé a iniciar sesión.”</w:t>
            </w:r>
          </w:p>
        </w:tc>
      </w:tr>
      <w:tr>
        <w:tc>
          <w:tcPr>
            <w:tcW w:w="961" w:type="dxa"/>
          </w:tcPr>
          <w:p>
            <w:pPr/>
            <w:r>
              <w:t xml:space="preserve">403</w:t>
            </w:r>
          </w:p>
        </w:tc>
        <w:tc>
          <w:tcPr>
            <w:tcW w:w="3479" w:type="dxa"/>
          </w:tcPr>
          <w:p>
            <w:pPr/>
            <w:r>
              <w:t xml:space="preserve">El rol no alcanza</w:t>
            </w:r>
          </w:p>
        </w:tc>
        <w:tc>
          <w:tcPr>
            <w:tcW w:w="4920" w:type="dxa"/>
          </w:tcPr>
          <w:p>
            <w:pPr/>
            <w:r>
              <w:t xml:space="preserve">“Tu usuario no tiene permiso para esta operación.”</w:t>
            </w:r>
          </w:p>
        </w:tc>
      </w:tr>
      <w:tr>
        <w:tc>
          <w:tcPr>
            <w:tcW w:w="961" w:type="dxa"/>
          </w:tcPr>
          <w:p>
            <w:pPr/>
            <w:r>
              <w:t xml:space="preserve">404</w:t>
            </w:r>
          </w:p>
        </w:tc>
        <w:tc>
          <w:tcPr>
            <w:tcW w:w="3479" w:type="dxa"/>
          </w:tcPr>
          <w:p>
            <w:pPr/>
            <w:r>
              <w:t xml:space="preserve">No existe el despacho, la posición, el usuario o la ruta</w:t>
            </w:r>
          </w:p>
        </w:tc>
        <w:tc>
          <w:tcPr>
            <w:tcW w:w="4920" w:type="dxa"/>
          </w:tcPr>
          <w:p>
            <w:pPr/>
            <w:r>
              <w:t xml:space="preserve">“No hay datos del despacho 26001IC04187014Z.”</w:t>
            </w:r>
          </w:p>
        </w:tc>
      </w:tr>
      <w:tr>
        <w:tc>
          <w:tcPr>
            <w:tcW w:w="961" w:type="dxa"/>
          </w:tcPr>
          <w:p>
            <w:pPr/>
            <w:r>
              <w:t xml:space="preserve">408</w:t>
            </w:r>
          </w:p>
        </w:tc>
        <w:tc>
          <w:tcPr>
            <w:tcW w:w="3479" w:type="dxa"/>
          </w:tcPr>
          <w:p>
            <w:pPr/>
            <w:r>
              <w:t xml:space="preserve">El SQL libre superó los 30 segundos</w:t>
            </w:r>
          </w:p>
        </w:tc>
        <w:tc>
          <w:tcPr>
            <w:tcW w:w="4920" w:type="dxa"/>
          </w:tcPr>
          <w:p>
            <w:pPr/>
            <w:r>
              <w:t xml:space="preserve">“La consulta superó el tiempo máximo de 30 segundos.”</w:t>
            </w:r>
          </w:p>
        </w:tc>
      </w:tr>
      <w:tr>
        <w:tc>
          <w:tcPr>
            <w:tcW w:w="961" w:type="dxa"/>
          </w:tcPr>
          <w:p>
            <w:pPr/>
            <w:r>
              <w:t xml:space="preserve">409</w:t>
            </w:r>
          </w:p>
        </w:tc>
        <w:tc>
          <w:tcPr>
            <w:tcW w:w="3479" w:type="dxa"/>
          </w:tcPr>
          <w:p>
            <w:pPr/>
            <w:r>
              <w:t xml:space="preserve">Duplicado o baja no permitida</w:t>
            </w:r>
          </w:p>
        </w:tc>
        <w:tc>
          <w:tcPr>
            <w:tcW w:w="4920" w:type="dxa"/>
          </w:tcPr>
          <w:p>
            <w:pPr/>
            <w:r>
              <w:t xml:space="preserve">“Ya existe el usuario tester.”</w:t>
            </w:r>
          </w:p>
        </w:tc>
      </w:tr>
      <w:tr>
        <w:tc>
          <w:tcPr>
            <w:tcW w:w="961" w:type="dxa"/>
          </w:tcPr>
          <w:p>
            <w:pPr/>
            <w:r>
              <w:t xml:space="preserve">429</w:t>
            </w:r>
          </w:p>
        </w:tc>
        <w:tc>
          <w:tcPr>
            <w:tcW w:w="3479" w:type="dxa"/>
          </w:tcPr>
          <w:p>
            <w:pPr/>
            <w:r>
              <w:t xml:space="preserve">5 intentos de login fallidos en 15 minutos</w:t>
            </w:r>
          </w:p>
        </w:tc>
        <w:tc>
          <w:tcPr>
            <w:tcW w:w="4920" w:type="dxa"/>
          </w:tcPr>
          <w:p>
            <w:pPr/>
            <w:r>
              <w:t xml:space="preserve">“Demasiados intentos fallidos. Probá de nuevo en 12 minutos.”</w:t>
            </w:r>
          </w:p>
        </w:tc>
      </w:tr>
      <w:tr>
        <w:tc>
          <w:tcPr>
            <w:tcW w:w="961" w:type="dxa"/>
          </w:tcPr>
          <w:p>
            <w:pPr/>
            <w:r>
              <w:t xml:space="preserve">500</w:t>
            </w:r>
          </w:p>
        </w:tc>
        <w:tc>
          <w:tcPr>
            <w:tcW w:w="3479" w:type="dxa"/>
          </w:tcPr>
          <w:p>
            <w:pPr/>
            <w:r>
              <w:t xml:space="preserve">Error de base o inesperado</w:t>
            </w:r>
          </w:p>
        </w:tc>
        <w:tc>
          <w:tcPr>
            <w:tcW w:w="4920" w:type="dxa"/>
          </w:tcPr>
          <w:p>
            <w:pPr/>
            <w:r>
              <w:t xml:space="preserve">“Error interno al consultar la base de datos.” El detalle técnico sólo se muestra con </w:t>
            </w:r>
            <w:r>
              <w:rPr>
                <w:rStyle w:val="CodeChar"/>
              </w:rPr>
              <w:t xml:space="preserve">NODE_ENV=development</w:t>
            </w:r>
            <w:r>
              <w:t xml:space="preserve">; siempre queda en el log del servidor</w:t>
            </w:r>
          </w:p>
        </w:tc>
      </w:tr>
    </w:tbl>
    <w:p>
      <w:pPr/>
      <w:r>
        <w:rPr>
          <w:b/>
          <w:bCs/>
        </w:rPr>
        <w:t xml:space="preserve">Validaciones principales: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Número de despacho:</w:t>
      </w:r>
      <w:r>
        <w:t xml:space="preserve"> 16 caracteres (o 15 sin la letra, que se completa) y dígito verificador calculado con la rutina del SIM; si la letra no coincide, el mensaje indica cuál corresponde.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NCM y períodos:</w:t>
      </w:r>
      <w:r>
        <w:t xml:space="preserve"> 4, 6 u 8 dígitos con o sin puntos; períodos </w:t>
      </w:r>
      <w:r>
        <w:rPr>
          <w:rStyle w:val="CodeChar"/>
        </w:rPr>
        <w:t xml:space="preserve">AAAAMM</w:t>
      </w:r>
      <w:r>
        <w:t xml:space="preserve">; rango “desde” menor o igual que “hasta”; códigos de país y aduana de 3 dígitos.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Usuarios:</w:t>
      </w:r>
      <w:r>
        <w:t xml:space="preserve"> usuario de 3 a 40 caracteres, único (409 si se repite); nombre obligatorio; clave de 10 a 72 caracteres; rol </w:t>
      </w:r>
      <w:r>
        <w:rPr>
          <w:rStyle w:val="CodeChar"/>
        </w:rPr>
        <w:t xml:space="preserve">admin</w:t>
      </w:r>
      <w:r>
        <w:t xml:space="preserve"> o </w:t>
      </w:r>
      <w:r>
        <w:rPr>
          <w:rStyle w:val="CodeChar"/>
        </w:rPr>
        <w:t xml:space="preserve">consulta</w:t>
      </w:r>
      <w:r>
        <w:t xml:space="preserve">. El formulario valida lo mismo antes de enviar y marca los campos en rojo.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Bajas:</w:t>
      </w:r>
      <w:r>
        <w:t xml:space="preserve"> se pide confirmación antes de eliminar. Sólo se eliminan usuarios que nunca ingresaron; los demás se desactivan. Nadie puede eliminarse ni desactivarse a sí mismo, y siempre queda un administrador activo.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SQL libre:</w:t>
      </w:r>
      <w:r>
        <w:t xml:space="preserve"> una sola sentencia de lectura (</w:t>
      </w:r>
      <w:r>
        <w:rPr>
          <w:rStyle w:val="CodeChar"/>
        </w:rPr>
        <w:t xml:space="preserve">SELECT</w:t>
      </w:r>
      <w:r>
        <w:t xml:space="preserve">, </w:t>
      </w:r>
      <w:r>
        <w:rPr>
          <w:rStyle w:val="CodeChar"/>
        </w:rPr>
        <w:t xml:space="preserve">WITH</w:t>
      </w:r>
      <w:r>
        <w:t xml:space="preserve">, </w:t>
      </w:r>
      <w:r>
        <w:rPr>
          <w:rStyle w:val="CodeChar"/>
        </w:rPr>
        <w:t xml:space="preserve">SHOW</w:t>
      </w:r>
      <w:r>
        <w:t xml:space="preserve">, </w:t>
      </w:r>
      <w:r>
        <w:rPr>
          <w:rStyle w:val="CodeChar"/>
        </w:rPr>
        <w:t xml:space="preserve">EXPLAIN</w:t>
      </w:r>
      <w:r>
        <w:t xml:space="preserve">); sin la tabla </w:t>
      </w:r>
      <w:r>
        <w:rPr>
          <w:rStyle w:val="CodeChar"/>
        </w:rPr>
        <w:t xml:space="preserve">usuarios</w:t>
      </w:r>
      <w:r>
        <w:t xml:space="preserve">, </w:t>
      </w:r>
      <w:r>
        <w:rPr>
          <w:rStyle w:val="CodeChar"/>
        </w:rPr>
        <w:t xml:space="preserve">INTO OUTFILE</w:t>
      </w:r>
      <w:r>
        <w:t xml:space="preserve">, </w:t>
      </w:r>
      <w:r>
        <w:rPr>
          <w:rStyle w:val="CodeChar"/>
        </w:rPr>
        <w:t xml:space="preserve">SLEEP</w:t>
      </w:r>
      <w:r>
        <w:t xml:space="preserve"> ni bloqueos. Además, el usuario de base de la API no tiene permiso de escritura sobre los datos.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Inyección SQL:</w:t>
      </w:r>
      <w:r>
        <w:t xml:space="preserve"> todas las consultas usan parámetros; los comodines de </w:t>
      </w:r>
      <w:r>
        <w:rPr>
          <w:rStyle w:val="CodeChar"/>
        </w:rPr>
        <w:t xml:space="preserve">LIKE</w:t>
      </w:r>
      <w:r>
        <w:t xml:space="preserve"> del texto del usuario se escapan.</w:t>
      </w:r>
    </w:p>
    <w:p>
      <w:pPr/>
      <w:r>
        <w:rPr>
          <w:b/>
          <w:bCs/>
        </w:rPr>
        <w:t xml:space="preserve">Conexión con la base:</w:t>
      </w:r>
      <w:r>
        <w:t xml:space="preserve"> el pool mantiene vivas las conexiones ociosas y descarta las que el servidor cierra, para que TiDB no deje a la API con una conexión muerta. Si la base no responde, la consulta devuelve 500 y la página muestra el mensaje de error en el lugar del resultado, en lugar de quedar en blanco (al abrirla: “No se pudo conectar con la API…”). En Render, la primera consulta después de 15 minutos sin uso tarda hasta un minuto mientras el servicio arranca.</w:t>
      </w:r>
    </w:p>
    <w:p>
      <w:pPr>
        <w:pStyle w:val="Heading2"/>
      </w:pPr>
      <w:r>
        <w:t xml:space="preserve">8. Pruebas implementadas</w:t>
      </w:r>
    </w:p>
    <w:p>
      <w:pPr/>
      <w:r>
        <w:t xml:space="preserve">Hay 26 pruebas automatizadas y todas pasan: 16 unitarias y 10 de integración. Usan el ejecutor que trae Node (</w:t>
      </w:r>
      <w:r>
        <w:rPr>
          <w:rStyle w:val="CodeChar"/>
        </w:rPr>
        <w:t xml:space="preserve">node:test</w:t>
      </w:r>
      <w:r>
        <w:t xml:space="preserve">) y </w:t>
      </w:r>
      <w:r>
        <w:rPr>
          <w:rStyle w:val="CodeChar"/>
        </w:rPr>
        <w:t xml:space="preserve">supertest</w:t>
      </w:r>
      <w:r>
        <w:t xml:space="preserve">, que llama a la API sin levantar el servidor.</w:t>
      </w:r>
    </w:p>
    <w:p>
      <w:pPr>
        <w:pStyle w:val="Code"/>
      </w:pPr>
      <w:bookmarkStart w:id="6" w:name="bongo_lang_powershell_6"/>
      <w:bookmarkEnd w:id="6"/>
      <w:r>
        <w:t xml:space="preserve">cd api</w:t>
        <w:br/>
        <w:t xml:space="preserve">npm test                    # todas</w:t>
        <w:br/>
        <w:t xml:space="preserve">npm run test:unit           # sólo unitarias: no necesitan base</w:t>
        <w:br/>
        <w:t xml:space="preserve">npm run test:integracion    # usan la base de api/.env</w:t>
      </w:r>
    </w:p>
    <w:p>
      <w:pPr/>
      <w:r>
        <w:t xml:space="preserve">Las de integración tienen que correr contra una base </w:t>
      </w:r>
      <w:r>
        <w:rPr>
          <w:b/>
          <w:bCs/>
        </w:rPr>
        <w:t xml:space="preserve">de desarrollo</w:t>
      </w:r>
      <w:r>
        <w:t xml:space="preserve"> (la local de la sección 5.4), nunca contra la de producción: crean usuarios temporales con el prefijo </w:t>
      </w:r>
      <w:r>
        <w:rPr>
          <w:rStyle w:val="CodeChar"/>
        </w:rPr>
        <w:t xml:space="preserve">test_</w:t>
      </w:r>
      <w:r>
        <w:t xml:space="preserve"> y los borran al terminar. Si el </w:t>
      </w:r>
      <w:r>
        <w:rPr>
          <w:rStyle w:val="CodeChar"/>
        </w:rPr>
        <w:t xml:space="preserve">.env</w:t>
      </w:r>
      <w:r>
        <w:t xml:space="preserve"> no tiene </w:t>
      </w:r>
      <w:r>
        <w:rPr>
          <w:rStyle w:val="CodeChar"/>
        </w:rPr>
        <w:t xml:space="preserve">DB_USER</w:t>
      </w:r>
      <w:r>
        <w:t xml:space="preserve"> o </w:t>
      </w:r>
      <w:r>
        <w:rPr>
          <w:rStyle w:val="CodeChar"/>
        </w:rPr>
        <w:t xml:space="preserve">JWT_SECRET</w:t>
      </w:r>
      <w:r>
        <w:t xml:space="preserve">, se saltean en lugar de fallar.</w:t>
      </w:r>
    </w:p>
    <w:p>
      <w:pPr>
        <w:pStyle w:val="Heading3"/>
      </w:pPr>
      <w:r>
        <w:t xml:space="preserve">8.1 Pruebas unitarias (</w:t>
      </w:r>
      <w:r>
        <w:rPr>
          <w:rStyle w:val="CodeChar"/>
        </w:rPr>
        <w:t xml:space="preserve">api/test/unit/</w:t>
      </w:r>
      <w:r>
        <w:t xml:space="preserve">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76"/>
        <w:gridCol w:w="1385"/>
        <w:gridCol w:w="3799"/>
        <w:gridCol w:w="1900"/>
      </w:tblGrid>
      <w:tr>
        <w:trPr>
          <w:tblHeader/>
        </w:trPr>
        <w:tc>
          <w:tcPr>
            <w:tcW w:w="2276" w:type="dxa"/>
            <w:shd w:val="clear" w:color="auto" w:fill="F2F2F2"/>
          </w:tcPr>
          <w:p>
            <w:pPr/>
            <w:r>
              <w:t xml:space="preserve">Prueba</w:t>
            </w:r>
          </w:p>
        </w:tc>
        <w:tc>
          <w:tcPr>
            <w:tcW w:w="1385" w:type="dxa"/>
            <w:shd w:val="clear" w:color="auto" w:fill="F2F2F2"/>
          </w:tcPr>
          <w:p>
            <w:pPr/>
            <w:r>
              <w:t xml:space="preserve">Qué se probó</w:t>
            </w:r>
          </w:p>
        </w:tc>
        <w:tc>
          <w:tcPr>
            <w:tcW w:w="3799" w:type="dxa"/>
            <w:shd w:val="clear" w:color="auto" w:fill="F2F2F2"/>
          </w:tcPr>
          <w:p>
            <w:pPr/>
            <w:r>
              <w:t xml:space="preserve">Resultado esperado</w:t>
            </w:r>
          </w:p>
        </w:tc>
        <w:tc>
          <w:tcPr>
            <w:tcW w:w="1900" w:type="dxa"/>
            <w:shd w:val="clear" w:color="auto" w:fill="F2F2F2"/>
          </w:tcPr>
          <w:p>
            <w:pPr/>
            <w:r>
              <w:t xml:space="preserve">Obtenido</w:t>
            </w:r>
          </w:p>
        </w:tc>
      </w:tr>
      <w:tr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nroAduana.test.js</w:t>
            </w:r>
          </w:p>
        </w:tc>
        <w:tc>
          <w:tcPr>
            <w:tcW w:w="1385" w:type="dxa"/>
          </w:tcPr>
          <w:p>
            <w:pPr/>
            <w:r>
              <w:t xml:space="preserve">Dígito verificador del número de despacho</w:t>
            </w:r>
          </w:p>
        </w:tc>
        <w:tc>
          <w:tcPr>
            <w:tcW w:w="3799" w:type="dxa"/>
          </w:tcPr>
          <w:p>
            <w:pPr/>
            <w:r>
              <w:t xml:space="preserve">Para 4 despachos reales de ARCA la letra calculada coincide con la del archivo; completa la letra si falta; rechaza una letra equivocada indicando la correcta y los números mal formados</w:t>
            </w:r>
          </w:p>
        </w:tc>
        <w:tc>
          <w:tcPr>
            <w:tcW w:w="1900" w:type="dxa"/>
          </w:tcPr>
          <w:p>
            <w:pPr/>
            <w:r>
              <w:t xml:space="preserve">4 de 4 correctas</w:t>
            </w:r>
          </w:p>
        </w:tc>
      </w:tr>
      <w:tr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ncm.test.js</w:t>
            </w:r>
          </w:p>
        </w:tc>
        <w:tc>
          <w:tcPr>
            <w:tcW w:w="1385" w:type="dxa"/>
          </w:tcPr>
          <w:p>
            <w:pPr/>
            <w:r>
              <w:t xml:space="preserve">Validación de partida, subpartida, NCM y rangos</w:t>
            </w:r>
          </w:p>
        </w:tc>
        <w:tc>
          <w:tcPr>
            <w:tcW w:w="3799" w:type="dxa"/>
          </w:tcPr>
          <w:p>
            <w:pPr/>
            <w:r>
              <w:t xml:space="preserve">Acepta 4, 6 u 8 dígitos; rechaza 3, 5, 7 o 9 con error 400; “84” da el rango 84000000–84999999; rechaza un rango invertido</w:t>
            </w:r>
          </w:p>
        </w:tc>
        <w:tc>
          <w:tcPr>
            <w:tcW w:w="1900" w:type="dxa"/>
          </w:tcPr>
          <w:p>
            <w:pPr/>
            <w:r>
              <w:t xml:space="preserve">4 de 4 correctas</w:t>
            </w:r>
          </w:p>
        </w:tc>
      </w:tr>
      <w:tr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sqlLibre.test.js</w:t>
            </w:r>
          </w:p>
        </w:tc>
        <w:tc>
          <w:tcPr>
            <w:tcW w:w="1385" w:type="dxa"/>
          </w:tcPr>
          <w:p>
            <w:pPr/>
            <w:r>
              <w:t xml:space="preserve">Control del SQL libre</w:t>
            </w:r>
          </w:p>
        </w:tc>
        <w:tc>
          <w:tcPr>
            <w:tcW w:w="3799" w:type="dxa"/>
          </w:tcPr>
          <w:p>
            <w:pPr/>
            <w:r>
              <w:t xml:space="preserve">Deja pasar SELECT, WITH, SHOW y EXPLAIN; frena DELETE, UPDATE, DROP, INSERT, dos sentencias juntas, la tabla </w:t>
            </w:r>
            <w:r>
              <w:rPr>
                <w:rStyle w:val="CodeChar"/>
              </w:rPr>
              <w:t xml:space="preserve">usuarios</w:t>
            </w:r>
            <w:r>
              <w:t xml:space="preserve">, SLEEP, LOAD_FILE e INTO OUTFILE</w:t>
            </w:r>
          </w:p>
        </w:tc>
        <w:tc>
          <w:tcPr>
            <w:tcW w:w="1900" w:type="dxa"/>
          </w:tcPr>
          <w:p>
            <w:pPr/>
            <w:r>
              <w:t xml:space="preserve">5 de 5 correctas</w:t>
            </w:r>
          </w:p>
        </w:tc>
      </w:tr>
      <w:tr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usuarios.test.js</w:t>
            </w:r>
          </w:p>
        </w:tc>
        <w:tc>
          <w:tcPr>
            <w:tcW w:w="1385" w:type="dxa"/>
          </w:tcPr>
          <w:p>
            <w:pPr/>
            <w:r>
              <w:t xml:space="preserve">Datos de usuario</w:t>
            </w:r>
          </w:p>
        </w:tc>
        <w:tc>
          <w:tcPr>
            <w:tcW w:w="3799" w:type="dxa"/>
          </w:tcPr>
          <w:p>
            <w:pPr/>
            <w:r>
              <w:t xml:space="preserve">Usuario en minúsculas y de 3 a 40 caracteres válidos; clave de 10 a 72 caracteres; sólo roles </w:t>
            </w:r>
            <w:r>
              <w:rPr>
                <w:rStyle w:val="CodeChar"/>
              </w:rPr>
              <w:t xml:space="preserve">admin</w:t>
            </w:r>
            <w:r>
              <w:t xml:space="preserve"> y </w:t>
            </w:r>
            <w:r>
              <w:rPr>
                <w:rStyle w:val="CodeChar"/>
              </w:rPr>
              <w:t xml:space="preserve">consulta</w:t>
            </w:r>
          </w:p>
        </w:tc>
        <w:tc>
          <w:tcPr>
            <w:tcW w:w="1900" w:type="dxa"/>
          </w:tcPr>
          <w:p>
            <w:pPr/>
            <w:r>
              <w:t xml:space="preserve">3 de 3 correctas</w:t>
            </w:r>
          </w:p>
        </w:tc>
      </w:tr>
    </w:tbl>
    <w:p>
      <w:pPr>
        <w:pStyle w:val="Heading3"/>
      </w:pPr>
      <w:r>
        <w:t xml:space="preserve">8.2 Pruebas de integración (</w:t>
      </w:r>
      <w:r>
        <w:rPr>
          <w:rStyle w:val="CodeChar"/>
        </w:rPr>
        <w:t xml:space="preserve">api/test/integracion/</w:t>
      </w:r>
      <w:r>
        <w:t xml:space="preserve">)</w:t>
      </w:r>
    </w:p>
    <w:p>
      <w:pPr/>
      <w:r>
        <w:t xml:space="preserve">Recorren la API completa (rutas, middleware JWT, controlador, validaciones y modelo) y verifican cada resultado directamente en la base con SQL.</w:t>
      </w:r>
    </w:p>
    <w:p>
      <w:pPr/>
      <w:r>
        <w:rPr>
          <w:b/>
          <w:bCs/>
        </w:rPr>
        <w:t xml:space="preserve">Prueba 1: CRUD de usuarios.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94"/>
        <w:gridCol w:w="4920"/>
        <w:gridCol w:w="1146"/>
      </w:tblGrid>
      <w:tr>
        <w:trPr>
          <w:tblHeader/>
        </w:trPr>
        <w:tc>
          <w:tcPr>
            <w:tcW w:w="3294" w:type="dxa"/>
            <w:shd w:val="clear" w:color="auto" w:fill="F2F2F2"/>
          </w:tcPr>
          <w:p>
            <w:pPr/>
            <w:r>
              <w:t xml:space="preserve">Paso realizado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Resultado esperado</w:t>
            </w:r>
          </w:p>
        </w:tc>
        <w:tc>
          <w:tcPr>
            <w:tcW w:w="1146" w:type="dxa"/>
            <w:shd w:val="clear" w:color="auto" w:fill="F2F2F2"/>
          </w:tcPr>
          <w:p>
            <w:pPr/>
            <w:r>
              <w:t xml:space="preserve">Obtenido</w:t>
            </w:r>
          </w:p>
        </w:tc>
      </w:tr>
      <w:tr>
        <w:tc>
          <w:tcPr>
            <w:tcW w:w="3294" w:type="dxa"/>
          </w:tcPr>
          <w:p>
            <w:pPr/>
            <w:r>
              <w:t xml:space="preserve">Pedir la lista de usuarios sin token</w:t>
            </w:r>
          </w:p>
        </w:tc>
        <w:tc>
          <w:tcPr>
            <w:tcW w:w="4920" w:type="dxa"/>
          </w:tcPr>
          <w:p>
            <w:pPr/>
            <w:r>
              <w:t xml:space="preserve">401</w:t>
            </w:r>
          </w:p>
        </w:tc>
        <w:tc>
          <w:tcPr>
            <w:tcW w:w="1146" w:type="dxa"/>
          </w:tcPr>
          <w:p>
            <w:pPr/>
            <w:r>
              <w:t xml:space="preserve">Correcto</w:t>
            </w:r>
          </w:p>
        </w:tc>
      </w:tr>
      <w:tr>
        <w:tc>
          <w:tcPr>
            <w:tcW w:w="3294" w:type="dxa"/>
          </w:tcPr>
          <w:p>
            <w:pPr/>
            <w:r>
              <w:t xml:space="preserve">Alta de un usuario como administrador</w:t>
            </w:r>
          </w:p>
        </w:tc>
        <w:tc>
          <w:tcPr>
            <w:tcW w:w="4920" w:type="dxa"/>
          </w:tcPr>
          <w:p>
            <w:pPr/>
            <w:r>
              <w:t xml:space="preserve">201; la fila está en </w:t>
            </w:r>
            <w:r>
              <w:rPr>
                <w:rStyle w:val="CodeChar"/>
              </w:rPr>
              <w:t xml:space="preserve">usuarios</w:t>
            </w:r>
            <w:r>
              <w:t xml:space="preserve"> con nombre, rol y activo; la respuesta no incluye el hash de la clave</w:t>
            </w:r>
          </w:p>
        </w:tc>
        <w:tc>
          <w:tcPr>
            <w:tcW w:w="1146" w:type="dxa"/>
          </w:tcPr>
          <w:p>
            <w:pPr/>
            <w:r>
              <w:t xml:space="preserve">Correcto</w:t>
            </w:r>
          </w:p>
        </w:tc>
      </w:tr>
      <w:tr>
        <w:tc>
          <w:tcPr>
            <w:tcW w:w="3294" w:type="dxa"/>
          </w:tcPr>
          <w:p>
            <w:pPr/>
            <w:r>
              <w:t xml:space="preserve">Alta repetida y alta con nombre vacío</w:t>
            </w:r>
          </w:p>
        </w:tc>
        <w:tc>
          <w:tcPr>
            <w:tcW w:w="4920" w:type="dxa"/>
          </w:tcPr>
          <w:p>
            <w:pPr/>
            <w:r>
              <w:t xml:space="preserve">409 y 400; no se guarda nada</w:t>
            </w:r>
          </w:p>
        </w:tc>
        <w:tc>
          <w:tcPr>
            <w:tcW w:w="1146" w:type="dxa"/>
          </w:tcPr>
          <w:p>
            <w:pPr/>
            <w:r>
              <w:t xml:space="preserve">Correcto</w:t>
            </w:r>
          </w:p>
        </w:tc>
      </w:tr>
      <w:tr>
        <w:tc>
          <w:tcPr>
            <w:tcW w:w="3294" w:type="dxa"/>
          </w:tcPr>
          <w:p>
            <w:pPr/>
            <w:r>
              <w:t xml:space="preserve">Leer la lista</w:t>
            </w:r>
          </w:p>
        </w:tc>
        <w:tc>
          <w:tcPr>
            <w:tcW w:w="4920" w:type="dxa"/>
          </w:tcPr>
          <w:p>
            <w:pPr/>
            <w:r>
              <w:t xml:space="preserve">Incluye el usuario creado</w:t>
            </w:r>
          </w:p>
        </w:tc>
        <w:tc>
          <w:tcPr>
            <w:tcW w:w="1146" w:type="dxa"/>
          </w:tcPr>
          <w:p>
            <w:pPr/>
            <w:r>
              <w:t xml:space="preserve">Correcto</w:t>
            </w:r>
          </w:p>
        </w:tc>
      </w:tr>
      <w:tr>
        <w:tc>
          <w:tcPr>
            <w:tcW w:w="3294" w:type="dxa"/>
          </w:tcPr>
          <w:p>
            <w:pPr/>
            <w:r>
              <w:t xml:space="preserve">Modificar nombre y clave</w:t>
            </w:r>
          </w:p>
        </w:tc>
        <w:tc>
          <w:tcPr>
            <w:tcW w:w="4920" w:type="dxa"/>
          </w:tcPr>
          <w:p>
            <w:pPr/>
            <w:r>
              <w:t xml:space="preserve">Cambios guardados; la clave vieja da 401 y la nueva permite ingresar; ese usuario, de rol consulta, recibe 403 al pedir la lista</w:t>
            </w:r>
          </w:p>
        </w:tc>
        <w:tc>
          <w:tcPr>
            <w:tcW w:w="1146" w:type="dxa"/>
          </w:tcPr>
          <w:p>
            <w:pPr/>
            <w:r>
              <w:t xml:space="preserve">Correcto</w:t>
            </w:r>
          </w:p>
        </w:tc>
      </w:tr>
      <w:tr>
        <w:tc>
          <w:tcPr>
            <w:tcW w:w="3294" w:type="dxa"/>
          </w:tcPr>
          <w:p>
            <w:pPr/>
            <w:r>
              <w:t xml:space="preserve">Eliminar un usuario que ya ingresó</w:t>
            </w:r>
          </w:p>
        </w:tc>
        <w:tc>
          <w:tcPr>
            <w:tcW w:w="4920" w:type="dxa"/>
          </w:tcPr>
          <w:p>
            <w:pPr/>
            <w:r>
              <w:t xml:space="preserve">409; al desactivarlo queda </w:t>
            </w:r>
            <w:r>
              <w:rPr>
                <w:rStyle w:val="CodeChar"/>
              </w:rPr>
              <w:t xml:space="preserve">Activo = 0</w:t>
            </w:r>
            <w:r>
              <w:t xml:space="preserve"> y ya no puede ingresar</w:t>
            </w:r>
          </w:p>
        </w:tc>
        <w:tc>
          <w:tcPr>
            <w:tcW w:w="1146" w:type="dxa"/>
          </w:tcPr>
          <w:p>
            <w:pPr/>
            <w:r>
              <w:t xml:space="preserve">Correcto</w:t>
            </w:r>
          </w:p>
        </w:tc>
      </w:tr>
      <w:tr>
        <w:tc>
          <w:tcPr>
            <w:tcW w:w="3294" w:type="dxa"/>
          </w:tcPr>
          <w:p>
            <w:pPr/>
            <w:r>
              <w:t xml:space="preserve">Eliminar un usuario que nunca ingresó</w:t>
            </w:r>
          </w:p>
        </w:tc>
        <w:tc>
          <w:tcPr>
            <w:tcW w:w="4920" w:type="dxa"/>
          </w:tcPr>
          <w:p>
            <w:pPr/>
            <w:r>
              <w:t xml:space="preserve">200; la fila desaparece; repetir la baja da 404</w:t>
            </w:r>
          </w:p>
        </w:tc>
        <w:tc>
          <w:tcPr>
            <w:tcW w:w="1146" w:type="dxa"/>
          </w:tcPr>
          <w:p>
            <w:pPr/>
            <w:r>
              <w:t xml:space="preserve">Correcto</w:t>
            </w:r>
          </w:p>
        </w:tc>
      </w:tr>
    </w:tbl>
    <w:p>
      <w:pPr/>
      <w:r>
        <w:rPr>
          <w:b/>
          <w:bCs/>
        </w:rPr>
        <w:t xml:space="preserve">Prueba 2: Precios contra la base.</w:t>
      </w:r>
      <w:r>
        <w:t xml:space="preserve"> Toma la partida y el origen con más ítems y compara lo que devuelve la API con una suma hecha directo en SQL.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94"/>
        <w:gridCol w:w="4920"/>
        <w:gridCol w:w="1146"/>
      </w:tblGrid>
      <w:tr>
        <w:trPr>
          <w:tblHeader/>
        </w:trPr>
        <w:tc>
          <w:tcPr>
            <w:tcW w:w="3294" w:type="dxa"/>
            <w:shd w:val="clear" w:color="auto" w:fill="F2F2F2"/>
          </w:tcPr>
          <w:p>
            <w:pPr/>
            <w:r>
              <w:t xml:space="preserve">Paso realizado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Resultado esperado</w:t>
            </w:r>
          </w:p>
        </w:tc>
        <w:tc>
          <w:tcPr>
            <w:tcW w:w="1146" w:type="dxa"/>
            <w:shd w:val="clear" w:color="auto" w:fill="F2F2F2"/>
          </w:tcPr>
          <w:p>
            <w:pPr/>
            <w:r>
              <w:t xml:space="preserve">Obtenido</w:t>
            </w:r>
          </w:p>
        </w:tc>
      </w:tr>
      <w:tr>
        <w:tc>
          <w:tcPr>
            <w:tcW w:w="3294" w:type="dxa"/>
          </w:tcPr>
          <w:p>
            <w:pPr/>
            <w:r>
              <w:t xml:space="preserve">Precios de la partida completa</w:t>
            </w:r>
          </w:p>
        </w:tc>
        <w:tc>
          <w:tcPr>
            <w:tcW w:w="4920" w:type="dxa"/>
          </w:tcPr>
          <w:p>
            <w:pPr/>
            <w:r>
              <w:t xml:space="preserve">Cantidad de ítems y FOB total iguales a los de la base</w:t>
            </w:r>
          </w:p>
        </w:tc>
        <w:tc>
          <w:tcPr>
            <w:tcW w:w="1146" w:type="dxa"/>
          </w:tcPr>
          <w:p>
            <w:pPr/>
            <w:r>
              <w:t xml:space="preserve">Correcto</w:t>
            </w:r>
          </w:p>
        </w:tc>
      </w:tr>
      <w:tr>
        <w:tc>
          <w:tcPr>
            <w:tcW w:w="3294" w:type="dxa"/>
          </w:tcPr>
          <w:p>
            <w:pPr/>
            <w:r>
              <w:t xml:space="preserve">Con filtro por país de origen</w:t>
            </w:r>
          </w:p>
        </w:tc>
        <w:tc>
          <w:tcPr>
            <w:tcW w:w="4920" w:type="dxa"/>
          </w:tcPr>
          <w:p>
            <w:pPr/>
            <w:r>
              <w:t xml:space="preserve">Sólo ese origen; ítems y FOB iguales a la suma SQL filtrada</w:t>
            </w:r>
          </w:p>
        </w:tc>
        <w:tc>
          <w:tcPr>
            <w:tcW w:w="1146" w:type="dxa"/>
          </w:tcPr>
          <w:p>
            <w:pPr/>
            <w:r>
              <w:t xml:space="preserve">Correcto</w:t>
            </w:r>
          </w:p>
        </w:tc>
      </w:tr>
      <w:tr>
        <w:tc>
          <w:tcPr>
            <w:tcW w:w="3294" w:type="dxa"/>
          </w:tcPr>
          <w:p>
            <w:pPr/>
            <w:r>
              <w:t xml:space="preserve">Código de 5 dígitos</w:t>
            </w:r>
          </w:p>
        </w:tc>
        <w:tc>
          <w:tcPr>
            <w:tcW w:w="4920" w:type="dxa"/>
          </w:tcPr>
          <w:p>
            <w:pPr/>
            <w:r>
              <w:t xml:space="preserve">400 con mensaje claro</w:t>
            </w:r>
          </w:p>
        </w:tc>
        <w:tc>
          <w:tcPr>
            <w:tcW w:w="1146" w:type="dxa"/>
          </w:tcPr>
          <w:p>
            <w:pPr/>
            <w:r>
              <w:t xml:space="preserve">Correcto</w:t>
            </w:r>
          </w:p>
        </w:tc>
      </w:tr>
    </w:tbl>
    <w:p>
      <w:pPr/>
      <w:r>
        <w:rPr>
          <w:b/>
          <w:bCs/>
        </w:rPr>
        <w:t xml:space="preserve">Control de las pruebas:</w:t>
      </w:r>
      <w:r>
        <w:t xml:space="preserve"> se modificó a propósito la API para que permitiera borrar usuarios que ya ingresaron, y la prueba correspondiente falló. Con el código correcto vuelve a pasar.</w:t>
      </w:r>
    </w:p>
    <w:p>
      <w:pPr>
        <w:pStyle w:val="Heading3"/>
      </w:pPr>
      <w:r>
        <w:t xml:space="preserve">8.3 Evidencia de ejecución</w:t>
      </w:r>
    </w:p>
    <w:p>
      <w:pPr/>
      <w:r>
        <w:drawing>
          <wp:inline distT="0" distB="0" distL="0" distR="0">
            <wp:extent cx="5486400" cy="5181600"/>
            <wp:docPr id="3" name="image3" descr="Salida de npm test: 26 pruebas, 26 correcta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Salida de npm test: 26 pruebas, 26 correctas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La salida en texto está en </w:t>
      </w:r>
      <w:r>
        <w:rPr>
          <w:rStyle w:val="CodeChar"/>
        </w:rPr>
        <w:t xml:space="preserve">docs/pruebas/salida-npm-test.txt</w:t>
      </w:r>
      <w:r>
        <w:t xml:space="preserve">, y las capturas del recorrido del CRUD desde la pantalla, en </w:t>
      </w:r>
      <w:r>
        <w:rPr>
          <w:rStyle w:val="CodeChar"/>
        </w:rPr>
        <w:t xml:space="preserve">docs/pruebas/</w:t>
      </w:r>
      <w:r>
        <w:t xml:space="preserve">.</w:t>
      </w:r>
    </w:p>
    <w:p>
      <w:pPr>
        <w:pStyle w:val="Heading2"/>
      </w:pPr>
      <w:r>
        <w:t xml:space="preserve">9. Despliegue en producción</w:t>
      </w:r>
    </w:p>
    <w:p>
      <w:pPr/>
      <w:r>
        <w:t xml:space="preserve">Producción usa dos servicios gratuitos en la misma región (Virginia, EE. UU.) para reducir la demora entre la API y la base.</w:t>
      </w:r>
    </w:p>
    <w:p>
      <w:pPr>
        <w:pStyle w:val="Heading3"/>
      </w:pPr>
      <w:r>
        <w:t xml:space="preserve">9.1 Base en TiDB Cloud</w:t>
      </w:r>
    </w:p>
    <w:p>
      <w:pPr/>
      <w:r>
        <w:t xml:space="preserve">TiDB Cloud Starter es compatible con MySQL: 5 GiB y 50 millones de unidades de pedido por mes gratis. Tres meses ocupan 2,28 GiB. TiDB no tiene procedimientos almacenados ni permite </w:t>
      </w:r>
      <w:r>
        <w:rPr>
          <w:rStyle w:val="CodeChar"/>
        </w:rPr>
        <w:t xml:space="preserve">ROUND</w:t>
      </w:r>
      <w:r>
        <w:t xml:space="preserve"> en columnas generadas, por eso tiene su propio esquema (</w:t>
      </w:r>
      <w:r>
        <w:rPr>
          <w:rStyle w:val="CodeChar"/>
        </w:rPr>
        <w:t xml:space="preserve">db/tidb_schema.sql</w:t>
      </w:r>
      <w:r>
        <w:t xml:space="preserve">).</w:t>
      </w:r>
    </w:p>
    <w:p>
      <w:pPr>
        <w:pStyle w:val="ListParagraph"/>
        <w:numPr>
          <w:ilvl w:val="0"/>
          <w:numId w:val="9"/>
        </w:numPr>
      </w:pPr>
      <w:r>
        <w:t xml:space="preserve">Crear la instancia y anotar los datos del botón </w:t>
      </w:r>
      <w:r>
        <w:rPr>
          <w:b/>
          <w:bCs/>
        </w:rPr>
        <w:t xml:space="preserve">Connect</w:t>
      </w:r>
      <w:r>
        <w:t xml:space="preserve"> (host, puerto 4000, usuario con prefijo).</w:t>
      </w:r>
    </w:p>
    <w:p>
      <w:pPr>
        <w:pStyle w:val="ListParagraph"/>
        <w:numPr>
          <w:ilvl w:val="0"/>
          <w:numId w:val="9"/>
        </w:numPr>
      </w:pPr>
      <w:r>
        <w:t xml:space="preserve">En </w:t>
      </w:r>
      <w:r>
        <w:rPr>
          <w:rStyle w:val="CodeChar"/>
        </w:rPr>
        <w:t xml:space="preserve">carga/.env</w:t>
      </w:r>
      <w:r>
        <w:t xml:space="preserve">, completar </w:t>
      </w:r>
      <w:r>
        <w:rPr>
          <w:rStyle w:val="CodeChar"/>
        </w:rPr>
        <w:t xml:space="preserve">TIDB_HOST</w:t>
      </w:r>
      <w:r>
        <w:t xml:space="preserve">, </w:t>
      </w:r>
      <w:r>
        <w:rPr>
          <w:rStyle w:val="CodeChar"/>
        </w:rPr>
        <w:t xml:space="preserve">TIDB_PORT</w:t>
      </w:r>
      <w:r>
        <w:t xml:space="preserve">, </w:t>
      </w:r>
      <w:r>
        <w:rPr>
          <w:rStyle w:val="CodeChar"/>
        </w:rPr>
        <w:t xml:space="preserve">TIDB_USER</w:t>
      </w:r>
      <w:r>
        <w:t xml:space="preserve">, </w:t>
      </w:r>
      <w:r>
        <w:rPr>
          <w:rStyle w:val="CodeChar"/>
        </w:rPr>
        <w:t xml:space="preserve">TIDB_PASSWORD</w:t>
      </w:r>
      <w:r>
        <w:t xml:space="preserve"> y </w:t>
      </w:r>
      <w:r>
        <w:rPr>
          <w:rStyle w:val="CodeChar"/>
        </w:rPr>
        <w:t xml:space="preserve">TIDB_DB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Desde </w:t>
      </w:r>
      <w:r>
        <w:rPr>
          <w:rStyle w:val="CodeChar"/>
        </w:rPr>
        <w:t xml:space="preserve">carga/</w:t>
      </w:r>
      <w:r>
        <w:t xml:space="preserve">: </w:t>
      </w:r>
      <w:r>
        <w:rPr>
          <w:rStyle w:val="CodeChar"/>
        </w:rPr>
        <w:t xml:space="preserve">node copiar-a-tidb.js --esquema</w:t>
      </w:r>
      <w:r>
        <w:t xml:space="preserve">, después </w:t>
      </w:r>
      <w:r>
        <w:rPr>
          <w:rStyle w:val="CodeChar"/>
        </w:rPr>
        <w:t xml:space="preserve">--fijas</w:t>
      </w:r>
      <w:r>
        <w:t xml:space="preserve"> (KIT y clasificación) y </w:t>
      </w:r>
      <w:r>
        <w:rPr>
          <w:rStyle w:val="CodeChar"/>
        </w:rPr>
        <w:t xml:space="preserve">--periodos 202607,202608,202609</w:t>
      </w:r>
      <w:r>
        <w:t xml:space="preserve">. Al terminar compara la cantidad de filas de cada tabla en las dos bases.</w:t>
      </w:r>
    </w:p>
    <w:p>
      <w:pPr>
        <w:pStyle w:val="ListParagraph"/>
        <w:numPr>
          <w:ilvl w:val="0"/>
          <w:numId w:val="9"/>
        </w:numPr>
      </w:pPr>
      <w:r>
        <w:t xml:space="preserve">En el SQL Editor de TiDB, crear el usuario </w:t>
      </w:r>
      <w:r>
        <w:rPr>
          <w:rStyle w:val="CodeChar"/>
        </w:rPr>
        <w:t xml:space="preserve">comex_api</w:t>
      </w:r>
      <w:r>
        <w:t xml:space="preserve"> y darle permisos: </w:t>
      </w:r>
      <w:r>
        <w:rPr>
          <w:rStyle w:val="CodeChar"/>
        </w:rPr>
        <w:t xml:space="preserve">SELECT</w:t>
      </w:r>
      <w:r>
        <w:t xml:space="preserve"> sobre la base y </w:t>
      </w:r>
      <w:r>
        <w:rPr>
          <w:rStyle w:val="CodeChar"/>
        </w:rPr>
        <w:t xml:space="preserve">SELECT, INSERT, UPDATE, DELETE</w:t>
      </w:r>
      <w:r>
        <w:t xml:space="preserve"> sobre </w:t>
      </w:r>
      <w:r>
        <w:rPr>
          <w:rStyle w:val="CodeChar"/>
        </w:rPr>
        <w:t xml:space="preserve">comex.usuarios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Crear el primer administrador apuntando </w:t>
      </w:r>
      <w:r>
        <w:rPr>
          <w:rStyle w:val="CodeChar"/>
        </w:rPr>
        <w:t xml:space="preserve">api/.env</w:t>
      </w:r>
      <w:r>
        <w:t xml:space="preserve"> a TiDB y corriendo </w:t>
      </w:r>
      <w:r>
        <w:rPr>
          <w:rStyle w:val="CodeChar"/>
        </w:rPr>
        <w:t xml:space="preserve">npm run usuario</w:t>
      </w:r>
      <w:r>
        <w:t xml:space="preserve">, o con un </w:t>
      </w:r>
      <w:r>
        <w:rPr>
          <w:rStyle w:val="CodeChar"/>
        </w:rPr>
        <w:t xml:space="preserve">INSERT</w:t>
      </w:r>
      <w:r>
        <w:t xml:space="preserve"> en el SQL Editor con el hash que genera </w:t>
      </w:r>
      <w:r>
        <w:rPr>
          <w:rStyle w:val="CodeChar"/>
        </w:rPr>
        <w:t xml:space="preserve">bcryptjs</w:t>
      </w:r>
      <w:r>
        <w:t xml:space="preserve">.</w:t>
      </w:r>
    </w:p>
    <w:p>
      <w:pPr/>
      <w:r>
        <w:rPr>
          <w:b/>
          <w:bCs/>
        </w:rPr>
        <w:t xml:space="preserve">Cada mes:</w:t>
      </w:r>
      <w:r>
        <w:t xml:space="preserve"> </w:t>
      </w:r>
      <w:r>
        <w:rPr>
          <w:rStyle w:val="CodeChar"/>
        </w:rPr>
        <w:t xml:space="preserve">npm run mes</w:t>
      </w:r>
      <w:r>
        <w:t xml:space="preserve"> en el servidor local y después </w:t>
      </w:r>
      <w:r>
        <w:rPr>
          <w:rStyle w:val="CodeChar"/>
        </w:rPr>
        <w:t xml:space="preserve">node copiar-a-tidb.js --periodos AAAAMM</w:t>
      </w:r>
      <w:r>
        <w:t xml:space="preserve">.</w:t>
      </w:r>
    </w:p>
    <w:p>
      <w:pPr>
        <w:pStyle w:val="Heading3"/>
      </w:pPr>
      <w:r>
        <w:t xml:space="preserve">9.2 API en Render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46"/>
        <w:gridCol w:w="6313"/>
      </w:tblGrid>
      <w:tr>
        <w:trPr>
          <w:tblHeader/>
        </w:trPr>
        <w:tc>
          <w:tcPr>
            <w:tcW w:w="3046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6313" w:type="dxa"/>
            <w:shd w:val="clear" w:color="auto" w:fill="F2F2F2"/>
          </w:tcPr>
          <w:p>
            <w:pPr/>
            <w:r>
              <w:t xml:space="preserve">Valor</w:t>
            </w:r>
          </w:p>
        </w:tc>
      </w:tr>
      <w:tr>
        <w:tc>
          <w:tcPr>
            <w:tcW w:w="3046" w:type="dxa"/>
          </w:tcPr>
          <w:p>
            <w:pPr/>
            <w:r>
              <w:t xml:space="preserve">Tipo de servicio</w:t>
            </w:r>
          </w:p>
        </w:tc>
        <w:tc>
          <w:tcPr>
            <w:tcW w:w="6313" w:type="dxa"/>
          </w:tcPr>
          <w:p>
            <w:pPr/>
            <w:r>
              <w:t xml:space="preserve">Web Service, Node</w:t>
            </w:r>
          </w:p>
        </w:tc>
      </w:tr>
      <w:tr>
        <w:tc>
          <w:tcPr>
            <w:tcW w:w="3046" w:type="dxa"/>
          </w:tcPr>
          <w:p>
            <w:pPr/>
            <w:r>
              <w:t xml:space="preserve">Repositorio y rama</w:t>
            </w:r>
          </w:p>
        </w:tc>
        <w:tc>
          <w:tcPr>
            <w:tcW w:w="6313" w:type="dxa"/>
          </w:tcPr>
          <w:p>
            <w:pPr/>
            <w:r>
              <w:rPr>
                <w:rStyle w:val="CodeChar"/>
              </w:rPr>
              <w:t xml:space="preserve">SergioDanielGalvan/PP4-ProyectoFinal</w:t>
            </w:r>
            <w:r>
              <w:t xml:space="preserve">, </w:t>
            </w:r>
            <w:r>
              <w:rPr>
                <w:rStyle w:val="CodeChar"/>
              </w:rPr>
              <w:t xml:space="preserve">main</w:t>
            </w:r>
          </w:p>
        </w:tc>
      </w:tr>
      <w:tr>
        <w:tc>
          <w:tcPr>
            <w:tcW w:w="3046" w:type="dxa"/>
          </w:tcPr>
          <w:p>
            <w:pPr/>
            <w:r>
              <w:t xml:space="preserve">Root Directory</w:t>
            </w:r>
          </w:p>
        </w:tc>
        <w:tc>
          <w:tcPr>
            <w:tcW w:w="6313" w:type="dxa"/>
          </w:tcPr>
          <w:p>
            <w:pPr/>
            <w:r>
              <w:rPr>
                <w:rStyle w:val="CodeChar"/>
              </w:rPr>
              <w:t xml:space="preserve">api</w:t>
            </w:r>
          </w:p>
        </w:tc>
      </w:tr>
      <w:tr>
        <w:tc>
          <w:tcPr>
            <w:tcW w:w="3046" w:type="dxa"/>
          </w:tcPr>
          <w:p>
            <w:pPr/>
            <w:r>
              <w:t xml:space="preserve">Build Command</w:t>
            </w:r>
          </w:p>
        </w:tc>
        <w:tc>
          <w:tcPr>
            <w:tcW w:w="6313" w:type="dxa"/>
          </w:tcPr>
          <w:p>
            <w:pPr/>
            <w:r>
              <w:rPr>
                <w:rStyle w:val="CodeChar"/>
              </w:rPr>
              <w:t xml:space="preserve">npm install</w:t>
            </w:r>
          </w:p>
        </w:tc>
      </w:tr>
      <w:tr>
        <w:tc>
          <w:tcPr>
            <w:tcW w:w="3046" w:type="dxa"/>
          </w:tcPr>
          <w:p>
            <w:pPr/>
            <w:r>
              <w:t xml:space="preserve">Start Command</w:t>
            </w:r>
          </w:p>
        </w:tc>
        <w:tc>
          <w:tcPr>
            <w:tcW w:w="6313" w:type="dxa"/>
          </w:tcPr>
          <w:p>
            <w:pPr/>
            <w:r>
              <w:rPr>
                <w:rStyle w:val="CodeChar"/>
              </w:rPr>
              <w:t xml:space="preserve">npm start</w:t>
            </w:r>
          </w:p>
        </w:tc>
      </w:tr>
      <w:tr>
        <w:tc>
          <w:tcPr>
            <w:tcW w:w="3046" w:type="dxa"/>
          </w:tcPr>
          <w:p>
            <w:pPr/>
            <w:r>
              <w:t xml:space="preserve">Variables de entorno</w:t>
            </w:r>
          </w:p>
        </w:tc>
        <w:tc>
          <w:tcPr>
            <w:tcW w:w="6313" w:type="dxa"/>
          </w:tcPr>
          <w:p>
            <w:pPr/>
            <w:r>
              <w:rPr>
                <w:rStyle w:val="CodeChar"/>
              </w:rPr>
              <w:t xml:space="preserve">DB_HOST</w:t>
            </w:r>
            <w:r>
              <w:t xml:space="preserve">, </w:t>
            </w:r>
            <w:r>
              <w:rPr>
                <w:rStyle w:val="CodeChar"/>
              </w:rPr>
              <w:t xml:space="preserve">DB_PORT=4000</w:t>
            </w:r>
            <w:r>
              <w:t xml:space="preserve">, </w:t>
            </w:r>
            <w:r>
              <w:rPr>
                <w:rStyle w:val="CodeChar"/>
              </w:rPr>
              <w:t xml:space="preserve">DB_USER</w:t>
            </w:r>
            <w:r>
              <w:t xml:space="preserve"> (con prefijo), </w:t>
            </w:r>
            <w:r>
              <w:rPr>
                <w:rStyle w:val="CodeChar"/>
              </w:rPr>
              <w:t xml:space="preserve">DB_PASSWORD</w:t>
            </w:r>
            <w:r>
              <w:t xml:space="preserve">, </w:t>
            </w:r>
            <w:r>
              <w:rPr>
                <w:rStyle w:val="CodeChar"/>
              </w:rPr>
              <w:t xml:space="preserve">DB_NAME=comex</w:t>
            </w:r>
            <w:r>
              <w:t xml:space="preserve">, </w:t>
            </w:r>
            <w:r>
              <w:rPr>
                <w:rStyle w:val="CodeChar"/>
              </w:rPr>
              <w:t xml:space="preserve">DB_SSL=true</w:t>
            </w:r>
            <w:r>
              <w:t xml:space="preserve">, </w:t>
            </w:r>
            <w:r>
              <w:rPr>
                <w:rStyle w:val="CodeChar"/>
              </w:rPr>
              <w:t xml:space="preserve">JWT_SECRET</w:t>
            </w:r>
            <w:r>
              <w:t xml:space="preserve">, </w:t>
            </w:r>
            <w:r>
              <w:rPr>
                <w:rStyle w:val="CodeChar"/>
              </w:rPr>
              <w:t xml:space="preserve">JWT_EXPIRA=8h</w:t>
            </w:r>
            <w:r>
              <w:t xml:space="preserve">, </w:t>
            </w:r>
            <w:r>
              <w:rPr>
                <w:rStyle w:val="CodeChar"/>
              </w:rPr>
              <w:t xml:space="preserve">AUTH_ENABLED=true</w:t>
            </w:r>
            <w:r>
              <w:t xml:space="preserve">, </w:t>
            </w:r>
            <w:r>
              <w:rPr>
                <w:rStyle w:val="CodeChar"/>
              </w:rPr>
              <w:t xml:space="preserve">NODE_ENV=production</w:t>
            </w:r>
          </w:p>
        </w:tc>
      </w:tr>
    </w:tbl>
    <w:p>
      <w:pPr/>
      <w:r>
        <w:t xml:space="preserve">Las variables van en </w:t>
      </w:r>
      <w:r>
        <w:rPr>
          <w:b/>
          <w:bCs/>
        </w:rPr>
        <w:t xml:space="preserve">Environment Variables</w:t>
      </w:r>
      <w:r>
        <w:t xml:space="preserve">, no en Secret Files. Para publicar una versión nueva: </w:t>
      </w:r>
      <w:r>
        <w:rPr>
          <w:rStyle w:val="CodeChar"/>
        </w:rPr>
        <w:t xml:space="preserve">git push</w:t>
      </w:r>
      <w:r>
        <w:t xml:space="preserve"> a </w:t>
      </w:r>
      <w:r>
        <w:rPr>
          <w:rStyle w:val="CodeChar"/>
        </w:rPr>
        <w:t xml:space="preserve">main</w:t>
      </w:r>
      <w:r>
        <w:t xml:space="preserve"> y, si el despliegue automático está apagado, </w:t>
      </w:r>
      <w:r>
        <w:rPr>
          <w:b/>
          <w:bCs/>
        </w:rPr>
        <w:t xml:space="preserve">Manual Deploy → Deploy latest commit</w:t>
      </w:r>
      <w:r>
        <w:t xml:space="preserve">. Render muestra el avance y los mensajes del servidor en la pestaña </w:t>
      </w:r>
      <w:r>
        <w:rPr>
          <w:b/>
          <w:bCs/>
        </w:rPr>
        <w:t xml:space="preserve">Logs</w:t>
      </w:r>
      <w:r>
        <w:t xml:space="preserve">.</w:t>
      </w:r>
    </w:p>
    <w:p>
      <w:pPr>
        <w:pStyle w:val="Heading3"/>
      </w:pPr>
      <w:r>
        <w:t xml:space="preserve">9.3 Seguridad</w:t>
      </w:r>
    </w:p>
    <w:p>
      <w:pPr>
        <w:pStyle w:val="ListParagraph"/>
        <w:numPr>
          <w:ilvl w:val="0"/>
          <w:numId w:val="10"/>
        </w:numPr>
      </w:pPr>
      <w:r>
        <w:t xml:space="preserve">Los archivos </w:t>
      </w:r>
      <w:r>
        <w:rPr>
          <w:rStyle w:val="CodeChar"/>
        </w:rPr>
        <w:t xml:space="preserve">.env</w:t>
      </w:r>
      <w:r>
        <w:t xml:space="preserve"> no se suben al repositorio (</w:t>
      </w:r>
      <w:r>
        <w:rPr>
          <w:rStyle w:val="CodeChar"/>
        </w:rPr>
        <w:t xml:space="preserve">.gitignore</w:t>
      </w:r>
      <w:r>
        <w:t xml:space="preserve">); el repositorio es público.</w:t>
      </w:r>
    </w:p>
    <w:p>
      <w:pPr>
        <w:pStyle w:val="ListParagraph"/>
        <w:numPr>
          <w:ilvl w:val="0"/>
          <w:numId w:val="10"/>
        </w:numPr>
      </w:pPr>
      <w:r>
        <w:t xml:space="preserve">La API se conecta con un usuario de base de sólo lectura sobre los datos.</w:t>
      </w:r>
    </w:p>
    <w:p>
      <w:pPr>
        <w:pStyle w:val="ListParagraph"/>
        <w:numPr>
          <w:ilvl w:val="0"/>
          <w:numId w:val="10"/>
        </w:numPr>
      </w:pPr>
      <w:r>
        <w:t xml:space="preserve">Las claves se guardan con bcrypt; los tokens vencen a las 8 horas y se invalidan en menos de un minuto si el usuario se desactiva.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2"/>
    </w:lvlOverride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iCs/>
      <w:sz w:val="22"/>
      <w:szCs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  <w:szCs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iCs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  <w:szCs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zCs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github.com/SergioDanielGalvan/PP4-ProyectoFinal" TargetMode="External"/><Relationship Id="rId4" Type="http://schemas.openxmlformats.org/officeDocument/2006/relationships/hyperlink" Target="https://pp4-comex.onrender.com/impo.html" TargetMode="Externa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http://localhost:3000/impo.html" TargetMode="External"/><Relationship Id="rId8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Manual Técnico · Estadísticas de importación (ARCA)</dc:title>
  <dc:description>Claude Docs node/46c32453-b06b@12 docx-w8</dc:description>
  <cp:revision>12</cp:revision>
</cp:coreProperties>
</file>