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de Usuario · Sistema COMEX</w:t>
      </w:r>
    </w:p>
    <w:p>
      <w:pPr/>
      <w:r>
        <w:t xml:space="preserve">Oct 30, 2026</w:t>
      </w:r>
      <w:r>
        <w:t xml:space="preserve"> · </w:t>
      </w:r>
      <w:r>
        <w:t xml:space="preserve">@Sergio</w:t>
      </w:r>
    </w:p>
    <w:p>
      <w:pPr>
        <w:pStyle w:val="Heading2"/>
      </w:pPr>
      <w:r>
        <w:t xml:space="preserve">1. Introducción</w:t>
      </w:r>
    </w:p>
    <w:p>
      <w:pPr/>
      <w:r>
        <w:t xml:space="preserve">El Sistema COMEX permite consultar desde el navegador las importaciones argentinas que publica ARCA cada mes: el detalle de cada despacho, los precios por posición arancelaria y país, los importadores, las triangulaciones y la composición de las importaciones por sector.</w:t>
      </w:r>
    </w:p>
    <w:p>
      <w:pPr/>
      <w:r>
        <w:t xml:space="preserve">Está pensado para despachantes de aduana, importadores y áreas de comercio exterior que necesitan precios de referencia o detectar valores declarados muy bajos. No hace falta saber de bases de datos: se elige qué consultar, se escribe un código y se ve el resultado.</w:t>
      </w:r>
    </w:p>
    <w:p>
      <w:pPr/>
      <w:r>
        <w:t xml:space="preserve">Hay dos tipos de usuario: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0"/>
        <w:gridCol w:w="6949"/>
      </w:tblGrid>
      <w:tr>
        <w:trPr>
          <w:tblHeader/>
        </w:trPr>
        <w:tc>
          <w:tcPr>
            <w:tcW w:w="241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Qué puede hacer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Consulta</w:t>
            </w:r>
          </w:p>
        </w:tc>
        <w:tc>
          <w:tcPr>
            <w:tcW w:w="6949" w:type="dxa"/>
          </w:tcPr>
          <w:p>
            <w:pPr/>
            <w:r>
              <w:t xml:space="preserve">Todas las consultas, exportar e imprimir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Administrador</w:t>
            </w:r>
          </w:p>
        </w:tc>
        <w:tc>
          <w:tcPr>
            <w:tcW w:w="6949" w:type="dxa"/>
          </w:tcPr>
          <w:p>
            <w:pPr/>
            <w:r>
              <w:t xml:space="preserve">Lo mismo y, además, dar de alta, modificar, desactivar y eliminar usuarios</w:t>
            </w:r>
          </w:p>
        </w:tc>
      </w:tr>
    </w:tbl>
    <w:p>
      <w:pPr/>
      <w:r>
        <w:t xml:space="preserve">Las capturas de este manual se tomaron con datos de prueba; en la versión publicada los números e importadores son los reales.</w:t>
      </w:r>
    </w:p>
    <w:p>
      <w:pPr>
        <w:pStyle w:val="Heading2"/>
      </w:pPr>
      <w:r>
        <w:t xml:space="preserve">2. Requisitos mínimos</w:t>
      </w:r>
    </w:p>
    <w:p>
      <w:pPr>
        <w:pStyle w:val="ListParagraph"/>
        <w:numPr>
          <w:ilvl w:val="0"/>
          <w:numId w:val="2"/>
        </w:numPr>
      </w:pPr>
      <w:r>
        <w:t xml:space="preserve">Una computadora, tablet o celular con un navegador actualizado: Chrome, Edge, Firefox o Safari. No hay que instalar nada.</w:t>
      </w:r>
    </w:p>
    <w:p>
      <w:pPr>
        <w:pStyle w:val="ListParagraph"/>
        <w:numPr>
          <w:ilvl w:val="0"/>
          <w:numId w:val="2"/>
        </w:numPr>
      </w:pPr>
      <w:r>
        <w:t xml:space="preserve">Conexión a Internet.</w:t>
      </w:r>
    </w:p>
    <w:p>
      <w:pPr>
        <w:pStyle w:val="ListParagraph"/>
        <w:numPr>
          <w:ilvl w:val="0"/>
          <w:numId w:val="2"/>
        </w:numPr>
      </w:pPr>
      <w:r>
        <w:t xml:space="preserve">Un usuario y una clave, que da el administrador del sistema.</w:t>
      </w:r>
    </w:p>
    <w:p>
      <w:pPr>
        <w:pStyle w:val="ListParagraph"/>
        <w:numPr>
          <w:ilvl w:val="0"/>
          <w:numId w:val="2"/>
        </w:numPr>
      </w:pPr>
      <w:r>
        <w:t xml:space="preserve">Dirección: </w:t>
      </w:r>
      <w:hyperlink r:id="rId3" w:history="1">
        <w:r>
          <w:rPr>
            <w:rStyle w:val="Hyperlink"/>
          </w:rPr>
          <w:t xml:space="preserve">pp4-comex.onrender.com/impo.html</w:t>
        </w:r>
      </w:hyperlink>
      <w:r>
        <w:t xml:space="preserve">.</w:t>
      </w:r>
    </w:p>
    <w:p>
      <w:pPr/>
      <w:r>
        <w:t xml:space="preserve">Si el sistema no se usó en los últimos 15 minutos, la primera pantalla puede tardar hasta un minuto en aparecer: el servidor se está encendiendo. Después responde en uno o dos segundos.</w:t>
      </w:r>
    </w:p>
    <w:p>
      <w:pPr>
        <w:pStyle w:val="Heading2"/>
      </w:pPr>
      <w:r>
        <w:t xml:space="preserve">3. Ingreso y pantalla principal</w:t>
      </w:r>
    </w:p>
    <w:p>
      <w:pPr>
        <w:pStyle w:val="Heading3"/>
      </w:pPr>
      <w:r>
        <w:t xml:space="preserve">3.1 Iniciar sesión</w:t>
      </w:r>
    </w:p>
    <w:p>
      <w:pPr/>
      <w:r>
        <w:t xml:space="preserve">Al abrir la dirección aparece la ventana de ingreso. Escribí tu usuario y tu clave y presioná </w:t>
      </w:r>
      <w:r>
        <w:rPr>
          <w:b/>
          <w:bCs/>
        </w:rPr>
        <w:t xml:space="preserve">Iniciar sesión</w:t>
      </w:r>
      <w:r>
        <w:t xml:space="preserve">.</w:t>
      </w:r>
    </w:p>
    <w:p>
      <w:pPr/>
      <w:r>
        <w:drawing>
          <wp:inline distT="0" distB="0" distL="0" distR="0">
            <wp:extent cx="5486400" cy="3257550"/>
            <wp:docPr id="1" name="image1" descr="Ventana de ingres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entana de ingres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 el usuario o la clave no son correctos, aparece un aviso en rojo y podés volver a intentar. Después de 5 intentos fallidos, el ingreso queda bloqueado 15 minutos.</w:t>
      </w:r>
    </w:p>
    <w:p>
      <w:pPr/>
      <w:r>
        <w:drawing>
          <wp:inline distT="0" distB="0" distL="0" distR="0">
            <wp:extent cx="5486400" cy="3257550"/>
            <wp:docPr id="2" name="image2" descr="Aviso de usuario o clave incorrec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viso de usuario o clave incorrecto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sesión dura 8 horas. Cuando vence, el sistema vuelve a pedir usuario y clave y continúa con lo que estabas haciendo.</w:t>
      </w:r>
    </w:p>
    <w:p>
      <w:pPr>
        <w:pStyle w:val="Heading3"/>
      </w:pPr>
      <w:r>
        <w:t xml:space="preserve">3.2 Pantalla principal</w:t>
      </w:r>
    </w:p>
    <w:p>
      <w:pPr/>
      <w:r>
        <w:drawing>
          <wp:inline distT="0" distB="0" distL="0" distR="0">
            <wp:extent cx="5486400" cy="3257550"/>
            <wp:docPr id="3" name="image3" descr="Pantalla principal después de ingres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ntalla principal después de ingresa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8"/>
        <w:gridCol w:w="5501"/>
      </w:tblGrid>
      <w:tr>
        <w:trPr>
          <w:tblHeader/>
        </w:trPr>
        <w:tc>
          <w:tcPr>
            <w:tcW w:w="3858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5501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  <w:bCs/>
              </w:rPr>
              <w:t xml:space="preserve">Período</w:t>
            </w:r>
            <w:r>
              <w:t xml:space="preserve"> (arriba a la derecha)</w:t>
            </w:r>
          </w:p>
        </w:tc>
        <w:tc>
          <w:tcPr>
            <w:tcW w:w="5501" w:type="dxa"/>
          </w:tcPr>
          <w:p>
            <w:pPr/>
            <w:r>
              <w:t xml:space="preserve">Elige el mes que se consulta. “Todos” suma todos los meses cargados. Vale para todas las pestañas</w:t>
            </w:r>
          </w:p>
        </w:tc>
      </w:tr>
      <w:tr>
        <w:tc>
          <w:tcPr>
            <w:tcW w:w="3858" w:type="dxa"/>
          </w:tcPr>
          <w:p>
            <w:pPr/>
            <w:r>
              <w:t xml:space="preserve">Tu nombre y </w:t>
            </w:r>
            <w:r>
              <w:rPr>
                <w:b/>
                <w:bCs/>
              </w:rPr>
              <w:t xml:space="preserve">Salir</w:t>
            </w:r>
          </w:p>
        </w:tc>
        <w:tc>
          <w:tcPr>
            <w:tcW w:w="5501" w:type="dxa"/>
          </w:tcPr>
          <w:p>
            <w:pPr/>
            <w:r>
              <w:t xml:space="preserve">Muestra quién está conectado; Salir cierra la sesión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  <w:bCs/>
              </w:rPr>
              <w:t xml:space="preserve">Pestañas</w:t>
            </w:r>
          </w:p>
        </w:tc>
        <w:tc>
          <w:tcPr>
            <w:tcW w:w="5501" w:type="dxa"/>
          </w:tcPr>
          <w:p>
            <w:pPr/>
            <w:r>
              <w:t xml:space="preserve">Despacho, Subpartidas, Precios por NCM, Importadores, Triangulaciones y Matriz. Los administradores ven además </w:t>
            </w:r>
            <w:r>
              <w:rPr>
                <w:b/>
                <w:bCs/>
              </w:rPr>
              <w:t xml:space="preserve">Usuarios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  <w:bCs/>
              </w:rPr>
              <w:t xml:space="preserve">Últimos despachos registrados</w:t>
            </w:r>
          </w:p>
        </w:tc>
        <w:tc>
          <w:tcPr>
            <w:tcW w:w="5501" w:type="dxa"/>
          </w:tcPr>
          <w:p>
            <w:pPr/>
            <w:r>
              <w:t xml:space="preserve">Los diez últimos del período elegido; un clic en un número abre su detalle</w:t>
            </w:r>
          </w:p>
        </w:tc>
      </w:tr>
    </w:tbl>
    <w:p>
      <w:pPr/>
      <w:r>
        <w:t xml:space="preserve">En el celular las pestañas se acomodan en varias filas y las tablas se desplazan hacia el costado.</w:t>
      </w:r>
    </w:p>
    <w:p>
      <w:pPr/>
      <w:r>
        <w:drawing>
          <wp:inline distT="0" distB="0" distL="0" distR="0">
            <wp:extent cx="3464752" cy="7498080"/>
            <wp:docPr id="4" name="image4" descr="La misma pantalla en un celul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La misma pantalla en un celula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Flujos de uso</w:t>
      </w:r>
    </w:p>
    <w:p>
      <w:pPr>
        <w:pStyle w:val="Heading3"/>
      </w:pPr>
      <w:r>
        <w:t xml:space="preserve">4.1 Buscar un despacho</w:t>
      </w:r>
    </w:p>
    <w:p>
      <w:pPr>
        <w:pStyle w:val="ListParagraph"/>
        <w:numPr>
          <w:ilvl w:val="0"/>
          <w:numId w:val="3"/>
        </w:numPr>
      </w:pPr>
      <w:r>
        <w:t xml:space="preserve">En la pestaña </w:t>
      </w:r>
      <w:r>
        <w:rPr>
          <w:b/>
          <w:bCs/>
        </w:rPr>
        <w:t xml:space="preserve">Despacho</w:t>
      </w:r>
      <w:r>
        <w:t xml:space="preserve">, empezá a escribir el número. Desde el año y la aduana (5 caracteres, por ejemplo </w:t>
      </w:r>
      <w:r>
        <w:rPr>
          <w:rStyle w:val="CodeChar"/>
        </w:rPr>
        <w:t xml:space="preserve">26001</w:t>
      </w:r>
      <w:r>
        <w:t xml:space="preserve">) aparece una lista de sugerencias con el importador y el mes.</w:t>
      </w:r>
    </w:p>
    <w:p>
      <w:pPr>
        <w:pStyle w:val="ListParagraph"/>
        <w:numPr>
          <w:ilvl w:val="0"/>
          <w:numId w:val="3"/>
        </w:numPr>
      </w:pPr>
      <w:r>
        <w:t xml:space="preserve">Elegí uno con el mouse, o con las flechas y Enter. También podés escribir el número completo y presionar </w:t>
      </w:r>
      <w:r>
        <w:rPr>
          <w:b/>
          <w:bCs/>
        </w:rPr>
        <w:t xml:space="preserve">Buscar despacho</w:t>
      </w:r>
      <w:r>
        <w:t xml:space="preserve">; la letra final es opcional.</w:t>
      </w:r>
    </w:p>
    <w:p>
      <w:pPr/>
      <w:r>
        <w:drawing>
          <wp:inline distT="0" distB="0" distL="0" distR="0">
            <wp:extent cx="5486400" cy="3257550"/>
            <wp:docPr id="5" name="image5" descr="Sugerencias mientras se escribe el núm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ugerencias mientras se escribe el númer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Se muestra la carátula (importador, período, destinación, aduana, procedencia, transporte, divisa y FOB total) y cada ítem con su posición NCM, mercadería, origen, cantidad, valor unitario y FOB. Debajo de cada ítem figuran los tributos liquidados.</w:t>
      </w:r>
    </w:p>
    <w:p>
      <w:pPr/>
      <w:r>
        <w:drawing>
          <wp:inline distT="0" distB="0" distL="0" distR="0">
            <wp:extent cx="5486400" cy="5912167"/>
            <wp:docPr id="6" name="image6" descr="Detalle de un despach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Detalle de un despach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 el número tiene un error, el sistema lo explica. Por ejemplo, si la letra final no corresponde, indica cuál es la correcta. </w:t>
      </w:r>
      <w:r>
        <w:rPr>
          <w:b/>
          <w:bCs/>
        </w:rPr>
        <w:t xml:space="preserve">Limpiar</w:t>
      </w:r>
      <w:r>
        <w:t xml:space="preserve"> borra el número y el resultado.</w:t>
      </w:r>
    </w:p>
    <w:p>
      <w:pPr/>
      <w:r>
        <w:drawing>
          <wp:inline distT="0" distB="0" distL="0" distR="0">
            <wp:extent cx="5486400" cy="3257550"/>
            <wp:docPr id="7" name="image7" descr="Aviso de letra verificadora equivoc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viso de letra verificadora equivocad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4.2 Ver las subpartidas de un rango</w:t>
      </w:r>
    </w:p>
    <w:p>
      <w:pPr>
        <w:pStyle w:val="ListParagraph"/>
        <w:numPr>
          <w:ilvl w:val="0"/>
          <w:numId w:val="4"/>
        </w:numPr>
      </w:pPr>
      <w:r>
        <w:t xml:space="preserve">En </w:t>
      </w:r>
      <w:r>
        <w:rPr>
          <w:b/>
          <w:bCs/>
        </w:rPr>
        <w:t xml:space="preserve">Subpartidas</w:t>
      </w:r>
      <w:r>
        <w:t xml:space="preserve">, escribí el comienzo del rango: capítulo (</w:t>
      </w:r>
      <w:r>
        <w:rPr>
          <w:rStyle w:val="CodeChar"/>
        </w:rPr>
        <w:t xml:space="preserve">84</w:t>
      </w:r>
      <w:r>
        <w:t xml:space="preserve">), partida (</w:t>
      </w:r>
      <w:r>
        <w:rPr>
          <w:rStyle w:val="CodeChar"/>
        </w:rPr>
        <w:t xml:space="preserve">8471</w:t>
      </w:r>
      <w:r>
        <w:t xml:space="preserve">), subpartida (</w:t>
      </w:r>
      <w:r>
        <w:rPr>
          <w:rStyle w:val="CodeChar"/>
        </w:rPr>
        <w:t xml:space="preserve">8471.30</w:t>
      </w:r>
      <w:r>
        <w:t xml:space="preserve">) o NCM completa. El campo “Hasta” es opcional.</w:t>
      </w:r>
    </w:p>
    <w:p>
      <w:pPr>
        <w:pStyle w:val="ListParagraph"/>
        <w:numPr>
          <w:ilvl w:val="0"/>
          <w:numId w:val="4"/>
        </w:numPr>
      </w:pPr>
      <w:r>
        <w:t xml:space="preserve">Presioná </w:t>
      </w:r>
      <w:r>
        <w:rPr>
          <w:b/>
          <w:bCs/>
        </w:rPr>
        <w:t xml:space="preserve">Ver subpartidas</w:t>
      </w:r>
      <w:r>
        <w:t xml:space="preserve">.</w:t>
      </w:r>
    </w:p>
    <w:p>
      <w:pPr/>
      <w:r>
        <w:t xml:space="preserve">Cada fila es una posición NCM con su mercadería, cantidad de despachos e ítems, cantidad, FOB, valor unitario promedio y cantidad de países de origen. Un clic en la posición abre sus precios.</w:t>
      </w:r>
    </w:p>
    <w:p>
      <w:pPr/>
      <w:r>
        <w:drawing>
          <wp:inline distT="0" distB="0" distL="0" distR="0">
            <wp:extent cx="5486400" cy="3257550"/>
            <wp:docPr id="8" name="image8" descr="Resumen por subpartida del capítulo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Resumen por subpartida del capítulo 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4.3 Comparar precios y detectar valores bajos</w:t>
      </w:r>
    </w:p>
    <w:p>
      <w:pPr/>
      <w:r>
        <w:t xml:space="preserve">Es la consulta principal para el despachante: muestra a qué precio entra una mercadería según su origen y qué operaciones declararon valores muy por debajo del promedio.</w:t>
      </w:r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b/>
          <w:bCs/>
        </w:rPr>
        <w:t xml:space="preserve">Precios por NCM</w:t>
      </w:r>
      <w:r>
        <w:t xml:space="preserve">, escribí una partida (</w:t>
      </w:r>
      <w:r>
        <w:rPr>
          <w:rStyle w:val="CodeChar"/>
        </w:rPr>
        <w:t xml:space="preserve">8471</w:t>
      </w:r>
      <w:r>
        <w:t xml:space="preserve">), una subpartida (</w:t>
      </w:r>
      <w:r>
        <w:rPr>
          <w:rStyle w:val="CodeChar"/>
        </w:rPr>
        <w:t xml:space="preserve">8471.30</w:t>
      </w:r>
      <w:r>
        <w:t xml:space="preserve">) o una NCM completa (</w:t>
      </w:r>
      <w:r>
        <w:rPr>
          <w:rStyle w:val="CodeChar"/>
        </w:rPr>
        <w:t xml:space="preserve">8471.30.12</w:t>
      </w:r>
      <w:r>
        <w:t xml:space="preserve">). También podés escribir una palabra de la descripción y elegir de la lista.</w:t>
      </w:r>
    </w:p>
    <w:p>
      <w:pPr/>
      <w:r>
        <w:drawing>
          <wp:inline distT="0" distB="0" distL="0" distR="0">
            <wp:extent cx="5486400" cy="3257550"/>
            <wp:docPr id="9" name="image9" descr="Sugerencias de posiciones al escribir 8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ugerencias de posiciones al escribir 84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t xml:space="preserve">En </w:t>
      </w:r>
      <w:r>
        <w:rPr>
          <w:b/>
          <w:bCs/>
        </w:rPr>
        <w:t xml:space="preserve">Marcar alertas bajo el</w:t>
      </w:r>
      <w:r>
        <w:t xml:space="preserve">, elegí el porcentaje del promedio (25 %, 50 % o 75 %).</w:t>
      </w:r>
    </w:p>
    <w:p>
      <w:pPr>
        <w:pStyle w:val="ListParagraph"/>
        <w:numPr>
          <w:ilvl w:val="0"/>
          <w:numId w:val="6"/>
        </w:numPr>
      </w:pPr>
      <w:r>
        <w:t xml:space="preserve">Si querés, acotá con los filtros: país de origen, región o país de procedencia, aduana y rango de meses (Desde y Hasta).</w:t>
      </w:r>
    </w:p>
    <w:p>
      <w:pPr>
        <w:pStyle w:val="ListParagraph"/>
        <w:numPr>
          <w:ilvl w:val="0"/>
          <w:numId w:val="6"/>
        </w:numPr>
      </w:pPr>
      <w:r>
        <w:t xml:space="preserve">Presioná </w:t>
      </w:r>
      <w:r>
        <w:rPr>
          <w:b/>
          <w:bCs/>
        </w:rPr>
        <w:t xml:space="preserve">Comparar precios</w:t>
      </w:r>
      <w:r>
        <w:t xml:space="preserve">.</w:t>
      </w:r>
    </w:p>
    <w:p>
      <w:pPr/>
      <w:r>
        <w:drawing>
          <wp:inline distT="0" distB="0" distL="0" distR="0">
            <wp:extent cx="5486400" cy="4592002"/>
            <wp:docPr id="10" name="image10" descr="Precios de una partida con sus aler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Precios de una partida con sus alerta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primera tabla resume por país de origen y unidad: ítems, cantidad, valor unitario mínimo, promedio y máximo, y FOB. En una partida o subpartida se juntan varias posiciones: la columna “NCM distintas” indica cuántas, porque el promedio puede mezclar mercaderías diferentes.</w:t>
      </w:r>
    </w:p>
    <w:p>
      <w:pPr/>
      <w:r>
        <w:t xml:space="preserve">La segunda tabla lista, en rojo, los ítems declarados por debajo del porcentaje elegido. Cada uno se compara con el promedio de su propia NCM y unidad, y “Proporción” dice qué parte del promedio declaró (por ejemplo, 28,3 % = menos de un tercio).</w:t>
      </w:r>
    </w:p>
    <w:p>
      <w:pPr>
        <w:pStyle w:val="Heading3"/>
      </w:pPr>
      <w:r>
        <w:t xml:space="preserve">4.4 Buscar importadores</w:t>
      </w:r>
    </w:p>
    <w:p>
      <w:pPr>
        <w:pStyle w:val="ListParagraph"/>
        <w:numPr>
          <w:ilvl w:val="0"/>
          <w:numId w:val="7"/>
        </w:numPr>
      </w:pPr>
      <w:r>
        <w:t xml:space="preserve">En </w:t>
      </w:r>
      <w:r>
        <w:rPr>
          <w:b/>
          <w:bCs/>
        </w:rPr>
        <w:t xml:space="preserve">Importadores</w:t>
      </w:r>
      <w:r>
        <w:t xml:space="preserve">, escribí al menos 3 letras del nombre. La lista de sugerencias muestra los nombres que coinciden.</w:t>
      </w:r>
    </w:p>
    <w:p>
      <w:pPr/>
      <w:r>
        <w:drawing>
          <wp:inline distT="0" distB="0" distL="0" distR="0">
            <wp:extent cx="5486400" cy="3257550"/>
            <wp:docPr id="11" name="image11" descr="Sugerencias de importad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Sugerencias de importadore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t xml:space="preserve">Elegí uno o presioná </w:t>
      </w:r>
      <w:r>
        <w:rPr>
          <w:b/>
          <w:bCs/>
        </w:rPr>
        <w:t xml:space="preserve">Buscar importador</w:t>
      </w:r>
      <w:r>
        <w:t xml:space="preserve"> para ver todos los que coinciden, con despachos, ítems y FOB del período, ordenados por FOB.</w:t>
      </w:r>
    </w:p>
    <w:p>
      <w:pPr/>
      <w:r>
        <w:drawing>
          <wp:inline distT="0" distB="0" distL="0" distR="0">
            <wp:extent cx="5486400" cy="3257550"/>
            <wp:docPr id="12" name="image12" descr="Resultado de la búsqueda de importad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Resultado de la búsqueda de importadore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4.5 Ver triangulaciones</w:t>
      </w:r>
    </w:p>
    <w:p>
      <w:pPr/>
      <w:r>
        <w:t xml:space="preserve">Una triangulación es un ítem cuyo país de origen (donde se fabricó) es distinto del país de procedencia (desde donde se embarcó). La pestaña </w:t>
      </w:r>
      <w:r>
        <w:rPr>
          <w:b/>
          <w:bCs/>
        </w:rPr>
        <w:t xml:space="preserve">Triangulaciones</w:t>
      </w:r>
      <w:r>
        <w:t xml:space="preserve"> las muestra al abrirla.</w:t>
      </w:r>
    </w:p>
    <w:p>
      <w:pPr>
        <w:pStyle w:val="ListParagraph"/>
        <w:numPr>
          <w:ilvl w:val="0"/>
          <w:numId w:val="9"/>
        </w:numPr>
      </w:pPr>
      <w:r>
        <w:t xml:space="preserve">Filtrá por partida, subpartida o NCM, por país de origen o por país de procedencia, y presioná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La casilla </w:t>
      </w:r>
      <w:r>
        <w:rPr>
          <w:b/>
          <w:bCs/>
        </w:rPr>
        <w:t xml:space="preserve">Excluir el AAE de Tierra del Fuego y las zonas francas argentinas</w:t>
      </w:r>
      <w:r>
        <w:t xml:space="preserve"> viene marcada: esas operaciones no son triangulaciones comerciales. Desmarcala para verlas.</w:t>
      </w:r>
    </w:p>
    <w:p>
      <w:pPr>
        <w:pStyle w:val="ListParagraph"/>
        <w:numPr>
          <w:ilvl w:val="0"/>
          <w:numId w:val="9"/>
        </w:numPr>
      </w:pPr>
      <w:r>
        <w:t xml:space="preserve">Un clic en un encabezado ordena por esa columna; otro clic invierte el orden. La flecha ▲ o ▼ indica cuál está activa.</w:t>
      </w:r>
    </w:p>
    <w:p>
      <w:pPr>
        <w:pStyle w:val="ListParagraph"/>
        <w:numPr>
          <w:ilvl w:val="0"/>
          <w:numId w:val="9"/>
        </w:numPr>
      </w:pPr>
      <w:r>
        <w:t xml:space="preserve">Un clic en una posición abre sus precios.</w:t>
      </w:r>
    </w:p>
    <w:p>
      <w:pPr/>
      <w:r>
        <w:drawing>
          <wp:inline distT="0" distB="0" distL="0" distR="0">
            <wp:extent cx="5486400" cy="3257550"/>
            <wp:docPr id="13" name="image13" descr="Triangulaciones con la casilla de zonas desmarc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Triangulaciones con la casilla de zonas desmarcad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4.6 Analizar la matriz de importaciones</w:t>
      </w:r>
    </w:p>
    <w:p>
      <w:pPr/>
      <w:r>
        <w:t xml:space="preserve">La pestaña </w:t>
      </w:r>
      <w:r>
        <w:rPr>
          <w:b/>
          <w:bCs/>
        </w:rPr>
        <w:t xml:space="preserve">Matriz</w:t>
      </w:r>
      <w:r>
        <w:t xml:space="preserve"> muestra el FOB de cada mes repartido por sección de la NCM, en un gráfico de barras apiladas y en una tabla.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US$ FOB</w:t>
      </w:r>
      <w:r>
        <w:t xml:space="preserve"> o </w:t>
      </w:r>
      <w:r>
        <w:rPr>
          <w:b/>
          <w:bCs/>
        </w:rPr>
        <w:t xml:space="preserve">% del mes</w:t>
      </w:r>
      <w:r>
        <w:t xml:space="preserve"> cambia la escala del gráfico.</w:t>
      </w:r>
    </w:p>
    <w:p>
      <w:pPr>
        <w:pStyle w:val="ListParagraph"/>
        <w:numPr>
          <w:ilvl w:val="0"/>
          <w:numId w:val="10"/>
        </w:numPr>
      </w:pPr>
      <w:r>
        <w:t xml:space="preserve">En </w:t>
      </w:r>
      <w:r>
        <w:rPr>
          <w:b/>
          <w:bCs/>
        </w:rPr>
        <w:t xml:space="preserve">Operaciones incluidas</w:t>
      </w:r>
      <w:r>
        <w:t xml:space="preserve">, marcá o desmarcá los grupos: importación a consumo, temporales, zona franca, energía por redes y Tierra del Fuego.</w:t>
      </w:r>
    </w:p>
    <w:p>
      <w:pPr>
        <w:pStyle w:val="ListParagraph"/>
        <w:numPr>
          <w:ilvl w:val="0"/>
          <w:numId w:val="10"/>
        </w:numPr>
      </w:pPr>
      <w:r>
        <w:t xml:space="preserve">Un clic en una barra o en una fila de la tabla abre los capítulos de esa sección. Para volver, usá </w:t>
      </w:r>
      <w:r>
        <w:rPr>
          <w:b/>
          <w:bCs/>
        </w:rPr>
        <w:t xml:space="preserve">Secciones</w:t>
      </w:r>
      <w:r>
        <w:t xml:space="preserve"> en la línea de arriba del gráfico.</w:t>
      </w:r>
    </w:p>
    <w:p>
      <w:pPr/>
      <w:r>
        <w:drawing>
          <wp:inline distT="0" distB="0" distL="0" distR="0">
            <wp:extent cx="5486400" cy="5166360"/>
            <wp:docPr id="14" name="image14" descr="Matriz por sec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Matriz por secció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257550"/>
            <wp:docPr id="15" name="image15" descr="Capítulos de una sec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Capítulos de una secció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Administración de usuarios</w:t>
      </w:r>
    </w:p>
    <w:p>
      <w:pPr/>
      <w:r>
        <w:t xml:space="preserve">Sólo los administradores ven la pestaña </w:t>
      </w:r>
      <w:r>
        <w:rPr>
          <w:b/>
          <w:bCs/>
        </w:rPr>
        <w:t xml:space="preserve">Usuarios</w:t>
      </w:r>
      <w:r>
        <w:t xml:space="preserve">. Muestra cada usuario con su nombre, rol, estado y último ingreso, y los botones de acción.</w:t>
      </w:r>
    </w:p>
    <w:p>
      <w:pPr/>
      <w:r>
        <w:drawing>
          <wp:inline distT="0" distB="0" distL="0" distR="0">
            <wp:extent cx="5486400" cy="3257550"/>
            <wp:docPr id="16" name="image16" descr="Lista de usuari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Lista de usuario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 Dar de alta un usuario</w:t>
      </w:r>
    </w:p>
    <w:p>
      <w:pPr>
        <w:pStyle w:val="ListParagraph"/>
        <w:numPr>
          <w:ilvl w:val="0"/>
          <w:numId w:val="11"/>
        </w:numPr>
      </w:pPr>
      <w:r>
        <w:t xml:space="preserve">Presioná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Completá el usuario (de 3 a 40 caracteres: letras, números, punto, guion o guion bajo), el nombre y apellido, y el rol.</w:t>
      </w:r>
    </w:p>
    <w:p>
      <w:pPr>
        <w:pStyle w:val="ListParagraph"/>
        <w:numPr>
          <w:ilvl w:val="0"/>
          <w:numId w:val="11"/>
        </w:numPr>
      </w:pPr>
      <w:r>
        <w:t xml:space="preserve">Escribí una clave de al menos 10 caracteres, o presioná </w:t>
      </w:r>
      <w:r>
        <w:rPr>
          <w:b/>
          <w:bCs/>
        </w:rPr>
        <w:t xml:space="preserve">Generar</w:t>
      </w:r>
      <w:r>
        <w:t xml:space="preserve"> para crear una al azar. Anotala antes de guardar: después no se puede ver.</w:t>
      </w:r>
    </w:p>
    <w:p>
      <w:pPr>
        <w:pStyle w:val="ListParagraph"/>
        <w:numPr>
          <w:ilvl w:val="0"/>
          <w:numId w:val="11"/>
        </w:numPr>
      </w:pPr>
      <w:r>
        <w:t xml:space="preserve">Presioná </w:t>
      </w:r>
      <w:r>
        <w:rPr>
          <w:b/>
          <w:bCs/>
        </w:rPr>
        <w:t xml:space="preserve">Guardar</w:t>
      </w:r>
      <w:r>
        <w:t xml:space="preserve">. Un aviso verde confirma el alta. Pasale la clave a la persona por un canal privado.</w:t>
      </w:r>
    </w:p>
    <w:p>
      <w:pPr/>
      <w:r>
        <w:t xml:space="preserve">[image: Formulario de alta con una clave generada]</w:t>
      </w:r>
    </w:p>
    <w:p>
      <w:pPr/>
      <w:r>
        <w:t xml:space="preserve">Si falta un dato, el campo se marca en rojo con la explicación. Si el usuario ya existe, el formulario lo avisa y no guarda nada.</w:t>
      </w:r>
    </w:p>
    <w:p>
      <w:pPr>
        <w:pStyle w:val="Heading3"/>
      </w:pPr>
      <w:r>
        <w:t xml:space="preserve">5.2 Modificar un usuario</w:t>
      </w:r>
    </w:p>
    <w:p>
      <w:pPr/>
      <w:r>
        <w:t xml:space="preserve">Presioná </w:t>
      </w:r>
      <w:r>
        <w:rPr>
          <w:b/>
          <w:bCs/>
        </w:rPr>
        <w:t xml:space="preserve">Modificar</w:t>
      </w:r>
      <w:r>
        <w:t xml:space="preserve"> en su fila. Se puede cambiar el nombre, el rol, el estado y la clave; el nombre de usuario no se puede cambiar. Para dar una clave nueva a alguien que la olvidó, escribila (o generá una) en </w:t>
      </w:r>
      <w:r>
        <w:rPr>
          <w:b/>
          <w:bCs/>
        </w:rPr>
        <w:t xml:space="preserve">Nueva clave</w:t>
      </w:r>
      <w:r>
        <w:t xml:space="preserve"> y guardá. Si dejás ese campo vacío, la clave no cambia.</w:t>
      </w:r>
    </w:p>
    <w:p>
      <w:pPr>
        <w:pStyle w:val="Heading3"/>
      </w:pPr>
      <w:r>
        <w:t xml:space="preserve">5.3 Desactivar o eliminar un usuario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Desactivar</w:t>
      </w:r>
      <w:r>
        <w:t xml:space="preserve"> impide que el usuario ingrese, pero conserva su registro; </w:t>
      </w:r>
      <w:r>
        <w:rPr>
          <w:b/>
          <w:bCs/>
        </w:rPr>
        <w:t xml:space="preserve">Activar</w:t>
      </w:r>
      <w:r>
        <w:t xml:space="preserve"> lo habilita de nuevo. En menos de un minuto deja de poder usar el sistema.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Eliminar</w:t>
      </w:r>
      <w:r>
        <w:t xml:space="preserve"> sólo aparece en los usuarios que nunca ingresaron (por ejemplo, un alta con un error). Antes de borrar, el sistema pide confirmación.</w:t>
      </w:r>
    </w:p>
    <w:p>
      <w:pPr/>
      <w:r>
        <w:t xml:space="preserve">[image: Confirmación antes de eliminar]</w:t>
      </w:r>
    </w:p>
    <w:p>
      <w:pPr/>
      <w:r>
        <w:t xml:space="preserve">[image: Un usuario desactivado]</w:t>
      </w:r>
    </w:p>
    <w:p>
      <w:pPr/>
      <w:r>
        <w:t xml:space="preserve">Para proteger el sistema, nadie puede eliminarse ni desactivarse a sí mismo, ni quitarse el rol de administrador; y siempre tiene que quedar al menos un administrador activo.</w:t>
      </w:r>
    </w:p>
    <w:p>
      <w:pPr>
        <w:pStyle w:val="Heading2"/>
      </w:pPr>
      <w:r>
        <w:t xml:space="preserve">6. Exportar e imprimir</w:t>
      </w:r>
    </w:p>
    <w:p>
      <w:pPr/>
      <w:r>
        <w:t xml:space="preserve">Todas las consultas tienen, sobre el resultado, dos botones: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Exportar (CSV):</w:t>
      </w:r>
      <w:r>
        <w:t xml:space="preserve"> descarga el resultado en un archivo que se abre con Excel; las primeras filas indican qué se consultó (período, código y filtros). En Precios el botón se llama “Exportar Excel (CSV)”. Los números usan coma decimal y el separador es punto y coma.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Imprimir:</w:t>
      </w:r>
      <w:r>
        <w:t xml:space="preserve"> abre la impresión del navegador con un formato de planilla, sin menús ni botones. Para obtener un PDF, elegí </w:t>
      </w:r>
      <w:r>
        <w:rPr>
          <w:b/>
          <w:bCs/>
        </w:rPr>
        <w:t xml:space="preserve">Guardar como PDF</w:t>
      </w:r>
      <w:r>
        <w:t xml:space="preserve"> como impresora.</w:t>
      </w:r>
    </w:p>
    <w:p>
      <w:pPr>
        <w:pStyle w:val="Heading2"/>
      </w:pPr>
      <w:r>
        <w:t xml:space="preserve">7. Mensajes y alertas frecuentes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59"/>
        <w:gridCol w:w="2816"/>
        <w:gridCol w:w="2985"/>
      </w:tblGrid>
      <w:tr>
        <w:trPr>
          <w:tblHeader/>
        </w:trPr>
        <w:tc>
          <w:tcPr>
            <w:tcW w:w="3559" w:type="dxa"/>
            <w:shd w:val="clear" w:color="auto" w:fill="F2F2F2"/>
          </w:tcPr>
          <w:p>
            <w:pPr/>
            <w:r>
              <w:t xml:space="preserve">Mensaje</w:t>
            </w:r>
          </w:p>
        </w:tc>
        <w:tc>
          <w:tcPr>
            <w:tcW w:w="2816" w:type="dxa"/>
            <w:shd w:val="clear" w:color="auto" w:fill="F2F2F2"/>
          </w:tcPr>
          <w:p>
            <w:pPr/>
            <w:r>
              <w:t xml:space="preserve">Qué significa</w:t>
            </w:r>
          </w:p>
        </w:tc>
        <w:tc>
          <w:tcPr>
            <w:tcW w:w="2985" w:type="dxa"/>
            <w:shd w:val="clear" w:color="auto" w:fill="F2F2F2"/>
          </w:tcPr>
          <w:p>
            <w:pPr/>
            <w:r>
              <w:t xml:space="preserve">Qué hacer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Usuario o clave incorrectos.</w:t>
            </w:r>
          </w:p>
        </w:tc>
        <w:tc>
          <w:tcPr>
            <w:tcW w:w="2816" w:type="dxa"/>
          </w:tcPr>
          <w:p>
            <w:pPr/>
            <w:r>
              <w:t xml:space="preserve">Alguno de los dos no coincide</w:t>
            </w:r>
          </w:p>
        </w:tc>
        <w:tc>
          <w:tcPr>
            <w:tcW w:w="2985" w:type="dxa"/>
          </w:tcPr>
          <w:p>
            <w:pPr/>
            <w:r>
              <w:t xml:space="preserve">Revisá mayúsculas y espacios; si no la recordás, pedí una clave nueva al administrador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Demasiados intentos fallidos. Probá de nuevo en N minutos.</w:t>
            </w:r>
          </w:p>
        </w:tc>
        <w:tc>
          <w:tcPr>
            <w:tcW w:w="2816" w:type="dxa"/>
          </w:tcPr>
          <w:p>
            <w:pPr/>
            <w:r>
              <w:t xml:space="preserve">Hubo 5 intentos fallidos seguidos</w:t>
            </w:r>
          </w:p>
        </w:tc>
        <w:tc>
          <w:tcPr>
            <w:tcW w:w="2985" w:type="dxa"/>
          </w:tcPr>
          <w:p>
            <w:pPr/>
            <w:r>
              <w:t xml:space="preserve">Esperá el tiempo indicado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La sesión venció; volvé a iniciar sesión.</w:t>
            </w:r>
          </w:p>
        </w:tc>
        <w:tc>
          <w:tcPr>
            <w:tcW w:w="2816" w:type="dxa"/>
          </w:tcPr>
          <w:p>
            <w:pPr/>
            <w:r>
              <w:t xml:space="preserve">Pasaron 8 horas desde el ingreso</w:t>
            </w:r>
          </w:p>
        </w:tc>
        <w:tc>
          <w:tcPr>
            <w:tcW w:w="2985" w:type="dxa"/>
          </w:tcPr>
          <w:p>
            <w:pPr/>
            <w:r>
              <w:t xml:space="preserve">Ingresá de nuevo; la consulta continúa sola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El usuario no existe o está desactivado.</w:t>
            </w:r>
          </w:p>
        </w:tc>
        <w:tc>
          <w:tcPr>
            <w:tcW w:w="2816" w:type="dxa"/>
          </w:tcPr>
          <w:p>
            <w:pPr/>
            <w:r>
              <w:t xml:space="preserve">Un administrador desactivó tu usuario</w:t>
            </w:r>
          </w:p>
        </w:tc>
        <w:tc>
          <w:tcPr>
            <w:tcW w:w="2985" w:type="dxa"/>
          </w:tcPr>
          <w:p>
            <w:pPr/>
            <w:r>
              <w:t xml:space="preserve">Consultá con el administrador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Dígito verificador erróneo: para … corresponde la letra X.</w:t>
            </w:r>
          </w:p>
        </w:tc>
        <w:tc>
          <w:tcPr>
            <w:tcW w:w="2816" w:type="dxa"/>
          </w:tcPr>
          <w:p>
            <w:pPr/>
            <w:r>
              <w:t xml:space="preserve">La letra final del despacho no coincide</w:t>
            </w:r>
          </w:p>
        </w:tc>
        <w:tc>
          <w:tcPr>
            <w:tcW w:w="2985" w:type="dxa"/>
          </w:tcPr>
          <w:p>
            <w:pPr/>
            <w:r>
              <w:t xml:space="preserve">Corregí la letra o borrala: el sistema la completa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No hay datos del despacho …</w:t>
            </w:r>
          </w:p>
        </w:tc>
        <w:tc>
          <w:tcPr>
            <w:tcW w:w="2816" w:type="dxa"/>
          </w:tcPr>
          <w:p>
            <w:pPr/>
            <w:r>
              <w:t xml:space="preserve">El número es válido pero no está en los meses cargados</w:t>
            </w:r>
          </w:p>
        </w:tc>
        <w:tc>
          <w:tcPr>
            <w:tcW w:w="2985" w:type="dxa"/>
          </w:tcPr>
          <w:p>
            <w:pPr/>
            <w:r>
              <w:t xml:space="preserve">Revisá el número o el período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Indicá una partida completa (8471), una subpartida (8471.30) o una NCM (8471.30.12).</w:t>
            </w:r>
          </w:p>
        </w:tc>
        <w:tc>
          <w:tcPr>
            <w:tcW w:w="2816" w:type="dxa"/>
          </w:tcPr>
          <w:p>
            <w:pPr/>
            <w:r>
              <w:t xml:space="preserve">El código tiene 5 o 7 dígitos</w:t>
            </w:r>
          </w:p>
        </w:tc>
        <w:tc>
          <w:tcPr>
            <w:tcW w:w="2985" w:type="dxa"/>
          </w:tcPr>
          <w:p>
            <w:pPr/>
            <w:r>
              <w:t xml:space="preserve">Completá la partida, la subpartida o la NCM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No hay importaciones con esos filtros.</w:t>
            </w:r>
          </w:p>
        </w:tc>
        <w:tc>
          <w:tcPr>
            <w:tcW w:w="2816" w:type="dxa"/>
          </w:tcPr>
          <w:p>
            <w:pPr/>
            <w:r>
              <w:t xml:space="preserve">La combinación de filtros no tiene datos</w:t>
            </w:r>
          </w:p>
        </w:tc>
        <w:tc>
          <w:tcPr>
            <w:tcW w:w="2985" w:type="dxa"/>
          </w:tcPr>
          <w:p>
            <w:pPr/>
            <w:r>
              <w:t xml:space="preserve">Quitá algún filtro o ampliá el período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Ningún ítem queda por debajo de ese umbral.</w:t>
            </w:r>
          </w:p>
        </w:tc>
        <w:tc>
          <w:tcPr>
            <w:tcW w:w="2816" w:type="dxa"/>
          </w:tcPr>
          <w:p>
            <w:pPr/>
            <w:r>
              <w:t xml:space="preserve">No hay valores bajos con ese porcentaje</w:t>
            </w:r>
          </w:p>
        </w:tc>
        <w:tc>
          <w:tcPr>
            <w:tcW w:w="2985" w:type="dxa"/>
          </w:tcPr>
          <w:p>
            <w:pPr/>
            <w:r>
              <w:t xml:space="preserve">Elegí un porcentaje más alto si querés ver más casos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Escribí al menos 3 letras del nombre del importador.</w:t>
            </w:r>
          </w:p>
        </w:tc>
        <w:tc>
          <w:tcPr>
            <w:tcW w:w="2816" w:type="dxa"/>
          </w:tcPr>
          <w:p>
            <w:pPr/>
            <w:r>
              <w:t xml:space="preserve">La búsqueda es muy corta</w:t>
            </w:r>
          </w:p>
        </w:tc>
        <w:tc>
          <w:tcPr>
            <w:tcW w:w="2985" w:type="dxa"/>
          </w:tcPr>
          <w:p>
            <w:pPr/>
            <w:r>
              <w:t xml:space="preserve">Agregá letras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Ya existe el usuario …</w:t>
            </w:r>
          </w:p>
        </w:tc>
        <w:tc>
          <w:tcPr>
            <w:tcW w:w="2816" w:type="dxa"/>
          </w:tcPr>
          <w:p>
            <w:pPr/>
            <w:r>
              <w:t xml:space="preserve">Al dar de alta, ese nombre de usuario está tomado</w:t>
            </w:r>
          </w:p>
        </w:tc>
        <w:tc>
          <w:tcPr>
            <w:tcW w:w="2985" w:type="dxa"/>
          </w:tcPr>
          <w:p>
            <w:pPr/>
            <w:r>
              <w:t xml:space="preserve">Elegí otro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… ya ingresó al sistema: para conservar el historial no se elimina, se desactiva.</w:t>
            </w:r>
          </w:p>
        </w:tc>
        <w:tc>
          <w:tcPr>
            <w:tcW w:w="2816" w:type="dxa"/>
          </w:tcPr>
          <w:p>
            <w:pPr/>
            <w:r>
              <w:t xml:space="preserve">Se intentó eliminar a alguien que ya usó el sistema</w:t>
            </w:r>
          </w:p>
        </w:tc>
        <w:tc>
          <w:tcPr>
            <w:tcW w:w="2985" w:type="dxa"/>
          </w:tcPr>
          <w:p>
            <w:pPr/>
            <w:r>
              <w:t xml:space="preserve">Usá </w:t>
            </w:r>
            <w:r>
              <w:rPr>
                <w:b/>
                <w:bCs/>
              </w:rPr>
              <w:t xml:space="preserve">Desactivar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Tu usuario no tiene permiso para esta operación.</w:t>
            </w:r>
          </w:p>
        </w:tc>
        <w:tc>
          <w:tcPr>
            <w:tcW w:w="2816" w:type="dxa"/>
          </w:tcPr>
          <w:p>
            <w:pPr/>
            <w:r>
              <w:t xml:space="preserve">La acción es sólo para administradores</w:t>
            </w:r>
          </w:p>
        </w:tc>
        <w:tc>
          <w:tcPr>
            <w:tcW w:w="2985" w:type="dxa"/>
          </w:tcPr>
          <w:p>
            <w:pPr/>
            <w:r>
              <w:t xml:space="preserve">Pedísela a un administrador</w:t>
            </w:r>
          </w:p>
        </w:tc>
      </w:tr>
      <w:tr>
        <w:tc>
          <w:tcPr>
            <w:tcW w:w="3559" w:type="dxa"/>
          </w:tcPr>
          <w:p>
            <w:pPr/>
            <w:r>
              <w:t xml:space="preserve">No se pudo conectar con la API … o Error interno al consultar la base de datos.</w:t>
            </w:r>
          </w:p>
        </w:tc>
        <w:tc>
          <w:tcPr>
            <w:tcW w:w="2816" w:type="dxa"/>
          </w:tcPr>
          <w:p>
            <w:pPr/>
            <w:r>
              <w:t xml:space="preserve">El servidor o la base no respondieron</w:t>
            </w:r>
          </w:p>
        </w:tc>
        <w:tc>
          <w:tcPr>
            <w:tcW w:w="2985" w:type="dxa"/>
          </w:tcPr>
          <w:p>
            <w:pPr/>
            <w:r>
              <w:t xml:space="preserve">Esperá un minuto (el servidor puede estar encendiéndose) y recargá la página; si sigue, avisá al administrador</w:t>
            </w:r>
          </w:p>
        </w:tc>
      </w:tr>
    </w:tbl>
    <w:p>
      <w:pPr/>
      <w:r>
        <w:t xml:space="preserve">Si la página tarda la primera vez que se abre en el día, no es un error: el servidor gratuito se apaga cuando nadie lo usa y tarda hasta un minuto en volver.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p4-comex.onrender.com/impo.html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Usuario · Sistema COMEX</dc:title>
  <dc:description>Claude Docs node/aa35c94e-f699@6 docx-w8</dc:description>
  <cp:revision>6</cp:revision>
</cp:coreProperties>
</file>