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-114297</wp:posOffset>
            </wp:positionH>
            <wp:positionV relativeFrom="paragraph">
              <wp:posOffset>0</wp:posOffset>
            </wp:positionV>
            <wp:extent cx="957263" cy="9572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957263" cy="9572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tbl>
      <w:tblPr>
        <w:tblStyle w:val="Table1"/>
        <w:bidi w:val="0"/>
        <w:tblW w:w="1650.0" w:type="dxa"/>
        <w:jc w:val="left"/>
        <w:tblInd w:w="7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10"/>
        <w:gridCol w:w="585"/>
        <w:tblGridChange w:id="0">
          <w:tblGrid>
            <w:gridCol w:w="555"/>
            <w:gridCol w:w="510"/>
            <w:gridCol w:w="585"/>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 DD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MM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AA</w:t>
            </w:r>
            <w:r w:rsidDel="00000000" w:rsidR="00000000" w:rsidRPr="00000000">
              <w:rPr>
                <w:rtl w:val="0"/>
              </w:rPr>
            </w:r>
          </w:p>
        </w:tc>
      </w:tr>
      <w:tr>
        <w:trPr>
          <w:trHeight w:val="3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04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Webservice:         Mundocente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Plan de Pruebas Funcionalidad/Usabilidad.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Objetivos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Evaluar los módulos buscar, consultas de un docente registrado y registrarse  en la plataforma web “Mundocente” en cuanto a su funcionalidad y usabilidad mediante casos de prueba y listas de chequeo.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Objetivos particulares.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Indicar mediante listas de chequeo la usabilidad de los  módulos buscar, consultas de un docente registrado y registrarse.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Indicar mediante casos de prueba la funcionalidad de los módulos buscar, consultas de un docente registrado y registrarse.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Enumerar los posibles escenarios que pueden ocurrir dentro de los módulos buscar, consultas de un docente registrado y registrarse.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Sugerir al equipo desarrollador las observaciones hechas tanto en las listas de chequeo como en los casos de prueba.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funciones de los diferentes auditores se dan a conocer en la siguiente tabla.</w:t>
      </w:r>
    </w:p>
    <w:p w:rsidR="00000000" w:rsidDel="00000000" w:rsidP="00000000" w:rsidRDefault="00000000" w:rsidRPr="00000000">
      <w:pPr>
        <w:contextualSpacing w:val="0"/>
        <w:jc w:val="both"/>
      </w:pPr>
      <w:r w:rsidDel="00000000" w:rsidR="00000000" w:rsidRPr="00000000">
        <w:rPr>
          <w:rtl w:val="0"/>
        </w:rPr>
      </w:r>
    </w:p>
    <w:tbl>
      <w:tblPr>
        <w:tblStyle w:val="Table2"/>
        <w:bidi w:val="0"/>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Nombre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Cargo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Función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Juan Sebastian Sarmiento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Dirigir pruebas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Juan Camilo Rodriguez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Calidad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Explorar la documentación y detectar posibles inconvenientes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Sergio Esteban Piña Vargas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Desarrollador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Explorar el proceso de desarrollo de la página “Mundocente” y detectar posibles inconvenientes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Deybi Pulido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Desarrollador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Elaborar planes de desarrollo para la corrección de errores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Estrategia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estrategia que se va a utilizar para el desarrollo de estas pruebas se basa en realizar pruebas tanto funcionales como de usabilidad, para lo cual se cuenta con el personal apropiado para realizar las técnicas de recolección y los elementos necesarios para llevar a cabo las pruebas.</w:t>
      </w:r>
    </w:p>
    <w:p w:rsidR="00000000" w:rsidDel="00000000" w:rsidP="00000000" w:rsidRDefault="00000000" w:rsidRPr="00000000">
      <w:pPr>
        <w:contextualSpacing w:val="0"/>
      </w:pPr>
      <w:r w:rsidDel="00000000" w:rsidR="00000000" w:rsidRPr="00000000">
        <w:rPr>
          <w:rtl w:val="0"/>
        </w:rPr>
        <w:t xml:space="preserve">solicitar a 2 usuarios ejecutar las pruebas de manejo de la página “Mundocente”.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Herramientas necesarias.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herramientas utilizadas para el desarrollo de las pruebas se nombran a continuación:</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Plan de pruebas: </w:t>
      </w:r>
      <w:r w:rsidDel="00000000" w:rsidR="00000000" w:rsidRPr="00000000">
        <w:rPr>
          <w:rtl w:val="0"/>
        </w:rPr>
        <w:t xml:space="preserve">Brinda una pauta respecto a los puntos que deberán ser evaluados, las herramientas utilizadas y algunas observaciones pertinentes.</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Listas de chequeo: </w:t>
      </w:r>
      <w:r w:rsidDel="00000000" w:rsidR="00000000" w:rsidRPr="00000000">
        <w:rPr>
          <w:rtl w:val="0"/>
        </w:rPr>
        <w:t xml:space="preserve">Ofrece facilidad al momento de revisar el cumplimiento de ciertos atributos que debería tener la página.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Listas de chequeo</w:t>
      </w:r>
    </w:p>
    <w:p w:rsidR="00000000" w:rsidDel="00000000" w:rsidP="00000000" w:rsidRDefault="00000000" w:rsidRPr="00000000">
      <w:pPr>
        <w:contextualSpacing w:val="0"/>
      </w:pPr>
      <w:r w:rsidDel="00000000" w:rsidR="00000000" w:rsidRPr="00000000">
        <w:rPr>
          <w:rtl w:val="0"/>
        </w:rPr>
        <w:t xml:space="preserve">Las listas de chequeo se encuentran en los documentos adjuntos “01 Listas de chequeo”.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6.  Casos de prueba .</w:t>
      </w:r>
    </w:p>
    <w:p w:rsidR="00000000" w:rsidDel="00000000" w:rsidP="00000000" w:rsidRDefault="00000000" w:rsidRPr="00000000">
      <w:pPr>
        <w:contextualSpacing w:val="0"/>
      </w:pPr>
      <w:r w:rsidDel="00000000" w:rsidR="00000000" w:rsidRPr="00000000">
        <w:rPr>
          <w:rtl w:val="0"/>
        </w:rPr>
        <w:t xml:space="preserve">Los casos de prueba prueba se encuentran en los documentos adjuntos “02 casos de prueba”.</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