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Brief de investigación exhaustiva</w:t>
      </w:r>
    </w:p>
    <w:p>
      <w:pPr>
        <w:pStyle w:val="DocSubtitle"/>
      </w:pPr>
      <w:r>
        <w:t>Ley REP en Chile, ecosistema digital y justificación estratégica de un Radar REP</w:t>
      </w:r>
    </w:p>
    <w:p>
      <w:pPr>
        <w:spacing w:after="360"/>
      </w:pPr>
      <w:r>
        <w:rPr>
          <w:b/>
        </w:rPr>
        <w:t>Versión de respaldo documental | elaborada para estudio, discusión y reconstrucción posterior de la investigación.</w:t>
      </w:r>
    </w:p>
    <w:tbl>
      <w:tblPr>
        <w:tblW w:type="auto" w:w="0"/>
        <w:jc w:val="left"/>
        <w:tblLayout w:type="fixed"/>
        <w:tblLook w:firstColumn="1" w:firstRow="1" w:lastColumn="0" w:lastRow="0" w:noHBand="0" w:noVBand="1" w:val="04A0"/>
      </w:tblPr>
      <w:tblGrid>
        <w:gridCol w:w="9632"/>
      </w:tblGrid>
      <w:tr>
        <w:tc>
          <w:tcPr>
            <w:tcW w:type="dxa" w:w="8787"/>
            <w:shd w:fill="EAF2F8"/>
            <w:vAlign w:val="center"/>
          </w:tcPr>
          <w:p>
            <w:pPr>
              <w:spacing w:after="0"/>
            </w:pPr>
            <w:r>
              <w:rPr>
                <w:sz w:val="20"/>
              </w:rPr>
              <w:t>Nota de uso: este documento está pensado como respaldo de estudio y decisión. Reúne hallazgos, límites, fuentes y criterios de interpretación suficientes para reconstruir la investigación sin depender del chat.</w:t>
            </w:r>
          </w:p>
        </w:tc>
      </w:tr>
    </w:tbl>
    <w:p/>
    <w:p>
      <w:pPr>
        <w:pStyle w:val="Heading1"/>
      </w:pPr>
      <w:r>
        <w:t>1. Propósito y alcance</w:t>
      </w:r>
    </w:p>
    <w:p>
      <w:r>
        <w:t>Este documento consolida la investigación realizada sobre la Ley REP en Chile y su ecosistema regulatorio, empresarial, institucional y tecnológico. Su objetivo no es vender una idea ni presentar todavía un diseño de producto, sino dejar una base documentada y verificable para decidir con más fundamento si existe espacio para una herramienta tipo Radar REP y bajo qué límites.</w:t>
      </w:r>
    </w:p>
    <w:p>
      <w:r>
        <w:t>El documento parte de una hipótesis inicial: que el mercado chileno ya tiene regulación, reportabilidad, sistemas de gestión, iniciativas de formación, actores intermedios y software puntual, pero no necesariamente una capa de inteligibilidad sistémica. Toda la investigación fue reordenada para contrastar esa hipótesis en ocho frentes críticos.</w:t>
      </w:r>
    </w:p>
    <w:p>
      <w:r>
        <w:t>La lógica metodológica fue jurídica, regulatoria, competitiva y de producto. Se cruzaron fuentes legales, portales oficiales, datasets abiertos, materiales operativos, páginas públicas de sistemas de gestión, iniciativas de formación/articulación y referentes internacionales.</w:t>
      </w:r>
    </w:p>
    <w:p>
      <w:pPr>
        <w:pStyle w:val="Heading1"/>
      </w:pPr>
      <w:r>
        <w:t>2. Resumen ejecutivo</w:t>
      </w:r>
    </w:p>
    <w:p>
      <w:pPr>
        <w:ind w:left="227" w:hanging="227"/>
      </w:pPr>
      <w:r>
        <w:rPr>
          <w:b/>
        </w:rPr>
        <w:t xml:space="preserve">• </w:t>
      </w:r>
      <w:r>
        <w:t>Chile ya dispone de una infraestructura pública relevante: marco legal, PortalVU/RETC, manuales e instructivos, datasets abiertos, SNIFA y SISREP como plataforma específica de reporte REP.</w:t>
      </w:r>
    </w:p>
    <w:p>
      <w:pPr>
        <w:ind w:left="227" w:hanging="227"/>
      </w:pPr>
      <w:r>
        <w:rPr>
          <w:b/>
        </w:rPr>
        <w:t xml:space="preserve">• </w:t>
      </w:r>
      <w:r>
        <w:t>Los sistemas de gestión ya ocupan la capa operativa privada de trazabilidad y reportabilidad para afiliados o flujos específicos; por tanto, competir ahí sería entrar a una zona ya ocupada y altamente sensible.</w:t>
      </w:r>
    </w:p>
    <w:p>
      <w:pPr>
        <w:ind w:left="227" w:hanging="227"/>
      </w:pPr>
      <w:r>
        <w:rPr>
          <w:b/>
        </w:rPr>
        <w:t xml:space="preserve">• </w:t>
      </w:r>
      <w:r>
        <w:t>Existen medios, foros, cursos, consultoras y software que explican la REP o ayudan a cumplirla. El espacio de 'centralizar información' ya no está vacío.</w:t>
      </w:r>
    </w:p>
    <w:p>
      <w:pPr>
        <w:ind w:left="227" w:hanging="227"/>
      </w:pPr>
      <w:r>
        <w:rPr>
          <w:b/>
        </w:rPr>
        <w:t xml:space="preserve">• </w:t>
      </w:r>
      <w:r>
        <w:t>La oportunidad defensible no está en ejecutar la REP, sino en hacerla legible: un Radar REP como capa neutral de observabilidad e inteligencia del ecosistema, apoyada primero en señales y datos públicos.</w:t>
      </w:r>
    </w:p>
    <w:p>
      <w:pPr>
        <w:ind w:left="227" w:hanging="227"/>
      </w:pPr>
      <w:r>
        <w:rPr>
          <w:b/>
        </w:rPr>
        <w:t xml:space="preserve">• </w:t>
      </w:r>
      <w:r>
        <w:t>Ese espacio solo existe si el producto se mantiene fuera de cuatro zonas: reportabilidad oficial, administración de afiliados, trazabilidad transaccional privada y exposición de información comercial sensible.</w:t>
      </w:r>
    </w:p>
    <w:p>
      <w:pPr>
        <w:pStyle w:val="Heading1"/>
      </w:pPr>
      <w:r>
        <w:t>3. Matriz de lectura de los ocho frentes</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701"/>
            <w:shd w:fill="D9EAF7"/>
            <w:vAlign w:val="center"/>
          </w:tcPr>
          <w:p>
            <w:pPr>
              <w:jc w:val="center"/>
            </w:pPr>
            <w:r>
              <w:rPr>
                <w:b/>
                <w:sz w:val="19"/>
              </w:rPr>
              <w:t>Frente</w:t>
            </w:r>
          </w:p>
        </w:tc>
        <w:tc>
          <w:tcPr>
            <w:tcW w:type="dxa" w:w="4535"/>
            <w:shd w:fill="D9EAF7"/>
            <w:vAlign w:val="center"/>
          </w:tcPr>
          <w:p>
            <w:pPr>
              <w:jc w:val="center"/>
            </w:pPr>
            <w:r>
              <w:rPr>
                <w:b/>
                <w:sz w:val="19"/>
              </w:rPr>
              <w:t>Qué se revisó</w:t>
            </w:r>
          </w:p>
        </w:tc>
        <w:tc>
          <w:tcPr>
            <w:tcW w:type="dxa" w:w="4535"/>
            <w:shd w:fill="D9EAF7"/>
            <w:vAlign w:val="center"/>
          </w:tcPr>
          <w:p>
            <w:pPr>
              <w:jc w:val="center"/>
            </w:pPr>
            <w:r>
              <w:rPr>
                <w:b/>
                <w:sz w:val="19"/>
              </w:rPr>
              <w:t>Conclusión operacional</w:t>
            </w:r>
          </w:p>
        </w:tc>
      </w:tr>
      <w:tr>
        <w:tc>
          <w:tcPr>
            <w:tcW w:type="dxa" w:w="1701"/>
            <w:vAlign w:val="center"/>
          </w:tcPr>
          <w:p>
            <w:pPr>
              <w:jc w:val="left"/>
            </w:pPr>
            <w:r>
              <w:rPr>
                <w:sz w:val="18"/>
              </w:rPr>
              <w:t>Fuentes de datos</w:t>
            </w:r>
          </w:p>
        </w:tc>
        <w:tc>
          <w:tcPr>
            <w:tcW w:type="dxa" w:w="4535"/>
            <w:vAlign w:val="center"/>
          </w:tcPr>
          <w:p>
            <w:pPr>
              <w:jc w:val="left"/>
            </w:pPr>
            <w:r>
              <w:rPr>
                <w:sz w:val="18"/>
              </w:rPr>
              <w:t>RETC, PortalVU, SISREP, SNIFA, manuales, datasets y formatos</w:t>
            </w:r>
          </w:p>
        </w:tc>
        <w:tc>
          <w:tcPr>
            <w:tcW w:type="dxa" w:w="4535"/>
            <w:vAlign w:val="center"/>
          </w:tcPr>
          <w:p>
            <w:pPr>
              <w:jc w:val="left"/>
            </w:pPr>
            <w:r>
              <w:rPr>
                <w:sz w:val="18"/>
              </w:rPr>
              <w:t>Sí hay base pública suficiente para un radar, pero no existe una verdad única ni limpia; la calidad y validación del dato son heterogéneas.</w:t>
            </w:r>
          </w:p>
        </w:tc>
      </w:tr>
      <w:tr>
        <w:tc>
          <w:tcPr>
            <w:tcW w:type="dxa" w:w="1701"/>
            <w:vAlign w:val="center"/>
          </w:tcPr>
          <w:p>
            <w:pPr>
              <w:jc w:val="left"/>
            </w:pPr>
            <w:r>
              <w:rPr>
                <w:sz w:val="18"/>
              </w:rPr>
              <w:t>Límite jurídico</w:t>
            </w:r>
          </w:p>
        </w:tc>
        <w:tc>
          <w:tcPr>
            <w:tcW w:type="dxa" w:w="4535"/>
            <w:vAlign w:val="center"/>
          </w:tcPr>
          <w:p>
            <w:pPr>
              <w:jc w:val="left"/>
            </w:pPr>
            <w:r>
              <w:rPr>
                <w:sz w:val="18"/>
              </w:rPr>
              <w:t>Ley REP, confidencialidad, libre competencia, FNE/TDLC</w:t>
            </w:r>
          </w:p>
        </w:tc>
        <w:tc>
          <w:tcPr>
            <w:tcW w:type="dxa" w:w="4535"/>
            <w:vAlign w:val="center"/>
          </w:tcPr>
          <w:p>
            <w:pPr>
              <w:jc w:val="left"/>
            </w:pPr>
            <w:r>
              <w:rPr>
                <w:sz w:val="18"/>
              </w:rPr>
              <w:t>El producto no puede facilitar intercambio de información sensible ni parecer una capa común de reportabilidad privada.</w:t>
            </w:r>
          </w:p>
        </w:tc>
      </w:tr>
      <w:tr>
        <w:tc>
          <w:tcPr>
            <w:tcW w:type="dxa" w:w="1701"/>
            <w:vAlign w:val="center"/>
          </w:tcPr>
          <w:p>
            <w:pPr>
              <w:jc w:val="left"/>
            </w:pPr>
            <w:r>
              <w:rPr>
                <w:sz w:val="18"/>
              </w:rPr>
              <w:t>Sustitutos informacionales</w:t>
            </w:r>
          </w:p>
        </w:tc>
        <w:tc>
          <w:tcPr>
            <w:tcW w:type="dxa" w:w="4535"/>
            <w:vAlign w:val="center"/>
          </w:tcPr>
          <w:p>
            <w:pPr>
              <w:jc w:val="left"/>
            </w:pPr>
            <w:r>
              <w:rPr>
                <w:sz w:val="18"/>
              </w:rPr>
              <w:t>País Circular, leyrep.cl, cursos, consultoras, software</w:t>
            </w:r>
          </w:p>
        </w:tc>
        <w:tc>
          <w:tcPr>
            <w:tcW w:type="dxa" w:w="4535"/>
            <w:vAlign w:val="center"/>
          </w:tcPr>
          <w:p>
            <w:pPr>
              <w:jc w:val="left"/>
            </w:pPr>
            <w:r>
              <w:rPr>
                <w:sz w:val="18"/>
              </w:rPr>
              <w:t>La capa de explicación y acompañamiento ya tiene oferta; el valor debe estar en inteligibilidad sistémica, no en repetir contenidos.</w:t>
            </w:r>
          </w:p>
        </w:tc>
      </w:tr>
      <w:tr>
        <w:tc>
          <w:tcPr>
            <w:tcW w:type="dxa" w:w="1701"/>
            <w:vAlign w:val="center"/>
          </w:tcPr>
          <w:p>
            <w:pPr>
              <w:jc w:val="left"/>
            </w:pPr>
            <w:r>
              <w:rPr>
                <w:sz w:val="18"/>
              </w:rPr>
              <w:t>Asimetría entre sistemas</w:t>
            </w:r>
          </w:p>
        </w:tc>
        <w:tc>
          <w:tcPr>
            <w:tcW w:type="dxa" w:w="4535"/>
            <w:vAlign w:val="center"/>
          </w:tcPr>
          <w:p>
            <w:pPr>
              <w:jc w:val="left"/>
            </w:pPr>
            <w:r>
              <w:rPr>
                <w:sz w:val="18"/>
              </w:rPr>
              <w:t>Portales y trazabilidad pública visible de distintos sistemas</w:t>
            </w:r>
          </w:p>
        </w:tc>
        <w:tc>
          <w:tcPr>
            <w:tcW w:type="dxa" w:w="4535"/>
            <w:vAlign w:val="center"/>
          </w:tcPr>
          <w:p>
            <w:pPr>
              <w:jc w:val="left"/>
            </w:pPr>
            <w:r>
              <w:rPr>
                <w:sz w:val="18"/>
              </w:rPr>
              <w:t>La madurez digital no es homogénea; esa asimetría refuerza la utilidad de una lectura neutral del entorno.</w:t>
            </w:r>
          </w:p>
        </w:tc>
      </w:tr>
      <w:tr>
        <w:tc>
          <w:tcPr>
            <w:tcW w:type="dxa" w:w="1701"/>
            <w:vAlign w:val="center"/>
          </w:tcPr>
          <w:p>
            <w:pPr>
              <w:jc w:val="left"/>
            </w:pPr>
            <w:r>
              <w:rPr>
                <w:sz w:val="18"/>
              </w:rPr>
              <w:t>Oferta del Estado</w:t>
            </w:r>
          </w:p>
        </w:tc>
        <w:tc>
          <w:tcPr>
            <w:tcW w:type="dxa" w:w="4535"/>
            <w:vAlign w:val="center"/>
          </w:tcPr>
          <w:p>
            <w:pPr>
              <w:jc w:val="left"/>
            </w:pPr>
            <w:r>
              <w:rPr>
                <w:sz w:val="18"/>
              </w:rPr>
              <w:t>MMA, PortalVU, RETC, SMA, SNIFA, reglamento sanitario</w:t>
            </w:r>
          </w:p>
        </w:tc>
        <w:tc>
          <w:tcPr>
            <w:tcW w:type="dxa" w:w="4535"/>
            <w:vAlign w:val="center"/>
          </w:tcPr>
          <w:p>
            <w:pPr>
              <w:jc w:val="left"/>
            </w:pPr>
            <w:r>
              <w:rPr>
                <w:sz w:val="18"/>
              </w:rPr>
              <w:t>El Estado ya cubre norma, registro, reporte y fiscalización; el radar debe complementarlo, no imitarlo.</w:t>
            </w:r>
          </w:p>
        </w:tc>
      </w:tr>
      <w:tr>
        <w:tc>
          <w:tcPr>
            <w:tcW w:type="dxa" w:w="1701"/>
            <w:vAlign w:val="center"/>
          </w:tcPr>
          <w:p>
            <w:pPr>
              <w:jc w:val="left"/>
            </w:pPr>
            <w:r>
              <w:rPr>
                <w:sz w:val="18"/>
              </w:rPr>
              <w:t>Microeconomía</w:t>
            </w:r>
          </w:p>
        </w:tc>
        <w:tc>
          <w:tcPr>
            <w:tcW w:type="dxa" w:w="4535"/>
            <w:vAlign w:val="center"/>
          </w:tcPr>
          <w:p>
            <w:pPr>
              <w:jc w:val="left"/>
            </w:pPr>
            <w:r>
              <w:rPr>
                <w:sz w:val="18"/>
              </w:rPr>
              <w:t>Tarifas, cursos, servicios y señales de disposición a pagar</w:t>
            </w:r>
          </w:p>
        </w:tc>
        <w:tc>
          <w:tcPr>
            <w:tcW w:type="dxa" w:w="4535"/>
            <w:vAlign w:val="center"/>
          </w:tcPr>
          <w:p>
            <w:pPr>
              <w:jc w:val="left"/>
            </w:pPr>
            <w:r>
              <w:rPr>
                <w:sz w:val="18"/>
              </w:rPr>
              <w:t>Existe gasto real en cumplimiento, formación y coordinación; hay espacio económico, pero solo si la propuesta reduce fricción cognitiva y de decisión.</w:t>
            </w:r>
          </w:p>
        </w:tc>
      </w:tr>
      <w:tr>
        <w:tc>
          <w:tcPr>
            <w:tcW w:type="dxa" w:w="1701"/>
            <w:vAlign w:val="center"/>
          </w:tcPr>
          <w:p>
            <w:pPr>
              <w:jc w:val="left"/>
            </w:pPr>
            <w:r>
              <w:rPr>
                <w:sz w:val="18"/>
              </w:rPr>
              <w:t>Periferia del sistema</w:t>
            </w:r>
          </w:p>
        </w:tc>
        <w:tc>
          <w:tcPr>
            <w:tcW w:type="dxa" w:w="4535"/>
            <w:vAlign w:val="center"/>
          </w:tcPr>
          <w:p>
            <w:pPr>
              <w:jc w:val="left"/>
            </w:pPr>
            <w:r>
              <w:rPr>
                <w:sz w:val="18"/>
              </w:rPr>
              <w:t>Municipios, recicladores de base, gestores pequeños, ONGs</w:t>
            </w:r>
          </w:p>
        </w:tc>
        <w:tc>
          <w:tcPr>
            <w:tcW w:type="dxa" w:w="4535"/>
            <w:vAlign w:val="center"/>
          </w:tcPr>
          <w:p>
            <w:pPr>
              <w:jc w:val="left"/>
            </w:pPr>
            <w:r>
              <w:rPr>
                <w:sz w:val="18"/>
              </w:rPr>
              <w:t>No son actores decorativos; explican brechas territoriales, de trazabilidad y capacidad operativa.</w:t>
            </w:r>
          </w:p>
        </w:tc>
      </w:tr>
      <w:tr>
        <w:tc>
          <w:tcPr>
            <w:tcW w:type="dxa" w:w="1701"/>
            <w:vAlign w:val="center"/>
          </w:tcPr>
          <w:p>
            <w:pPr>
              <w:jc w:val="left"/>
            </w:pPr>
            <w:r>
              <w:rPr>
                <w:sz w:val="18"/>
              </w:rPr>
              <w:t>Benchmark internacional</w:t>
            </w:r>
          </w:p>
        </w:tc>
        <w:tc>
          <w:tcPr>
            <w:tcW w:type="dxa" w:w="4535"/>
            <w:vAlign w:val="center"/>
          </w:tcPr>
          <w:p>
            <w:pPr>
              <w:jc w:val="left"/>
            </w:pPr>
            <w:r>
              <w:rPr>
                <w:sz w:val="18"/>
              </w:rPr>
              <w:t>LUCID, Citeo, Valipac, APCO/PREP, CAA, OECD</w:t>
            </w:r>
          </w:p>
        </w:tc>
        <w:tc>
          <w:tcPr>
            <w:tcW w:type="dxa" w:w="4535"/>
            <w:vAlign w:val="center"/>
          </w:tcPr>
          <w:p>
            <w:pPr>
              <w:jc w:val="left"/>
            </w:pPr>
            <w:r>
              <w:rPr>
                <w:sz w:val="18"/>
              </w:rPr>
              <w:t>Los ecosistemas maduros combinan varias capas; Chile no tiene aún una capa fuerte de observabilidad transversal.</w:t>
            </w:r>
          </w:p>
        </w:tc>
      </w:tr>
    </w:tbl>
    <w:p/>
    <w:p>
      <w:pPr>
        <w:pStyle w:val="Heading1"/>
      </w:pPr>
      <w:r>
        <w:t>4. Frente 1: inventario fino de fuentes de datos y calidad del dato</w:t>
      </w:r>
    </w:p>
    <w:p>
      <w:r>
        <w:t>El primer hallazgo es que el sistema chileno sí tiene datos y sistemas, pero no una sola capa unificada. PortalVU se define como la puerta de entrada para las declaraciones ambientales y organiza sistemas como SINADER, SIDREP, DASUPEL y los flujos REP. En la práctica, esto significa que la REP no opera aislada: se monta sobre una infraestructura más amplia de gestión ambiental y de residuos.</w:t>
      </w:r>
    </w:p>
    <w:p>
      <w:r>
        <w:t>La SMA, por su parte, configuró SISREP como sistema específico de reporte de la Ley REP desde 2025. Su propia documentación e instructivos lo vinculan con la trazabilidad, la validación de datos, los reportes mensuales y el informe de cumplimiento. La reportería mensual de consumidores industriales y la lógica de aceptación o rechazo de información reportada por sistemas de gestión muestran que el dato oficial se construye mediante conciliación, no mediante un repositorio simple.</w:t>
      </w:r>
    </w:p>
    <w:p>
      <w:r>
        <w:t>RETC y SNIFA aportan la capa abierta. RETC publica datasets sobre productos prioritarios y sistemas de gestión aprobados, mientras SNIFA ofrece datos abiertos sobre sancionatorios, sanciones firmes y un bloque REP sobre toneladas estimadas y tratamiento reportado por sistemas o consumidores industriales. El problema es que parte de estos datos son declarados por los regulados y no necesariamente verificados o procesados por la autoridad. Por ello, cualquier producto serio debe distinguir entre dato legal, dato reportado, dato validado y dato inferido.</w:t>
      </w:r>
    </w:p>
    <w:p>
      <w:r>
        <w:t>Conclusión: el insumo público para un radar existe, pero no puede tratarse como una verdad plana. El producto debe ser public-first, pero con capas explícitas de procedencia y confianza.</w:t>
      </w:r>
    </w:p>
    <w:p>
      <w:pPr>
        <w:pStyle w:val="Heading1"/>
      </w:pPr>
      <w:r>
        <w:t>5. Frente 2: frontera jurídica, confidencialidad y libre competencia</w:t>
      </w:r>
    </w:p>
    <w:p>
      <w:r>
        <w:t>La Ley REP combina dos exigencias que, a primera vista, tensionan el diseño de producto: por un lado, obliga a mantener registros, trazabilidad y cierta publicidad del sistema; por otro, ordena resguardar la confidencialidad comercial e industrial y reconoce la libre competencia como principio. Esto implica que no toda visibilidad es admisible.</w:t>
      </w:r>
    </w:p>
    <w:p>
      <w:r>
        <w:t>La práctica institucional confirma la sensibilidad del tema. Las intervenciones del TDLC y de la FNE respecto de sistemas colectivos, bases de licitación y estatutos muestran que los riesgos de intercambio de información sensible, de posición dominante y de coordinación anticompetitiva no son hipotéticos. Son una variable estructural del ecosistema.</w:t>
      </w:r>
    </w:p>
    <w:p>
      <w:r>
        <w:t>Conclusión: el radar solo es jurídicamente defendible si trabaja con agregación, fuentes públicas o datos provistos voluntariamente por el propio usuario, y si separa drásticamente la capa pública de ecosistema respecto de cualquier capa privada comparativa. No debe parecer, ni técnica ni narrativamente, una infraestructura compartida de operación entre competidores.</w:t>
      </w:r>
    </w:p>
    <w:p>
      <w:pPr>
        <w:pStyle w:val="Heading1"/>
      </w:pPr>
      <w:r>
        <w:t>6. Frente 3: sustitutos y competidores informacionales</w:t>
      </w:r>
    </w:p>
    <w:p>
      <w:r>
        <w:t>El espacio de informar sobre la REP ya tiene jugadores. Existen sitios que centralizan normativa y obligaciones por actor; medios especializados y foros sectoriales que cubren novedades, entrevistas y debates; cursos pagos sobre implementación; consultoras que ayudan a calcular o auditar cuotas; y software que promete automatizar parte del cumplimiento.</w:t>
      </w:r>
    </w:p>
    <w:p>
      <w:r>
        <w:t>Eso obliga a una definición más precisa del valor. Un producto que solo 'junte información' o que solo 'explique la ley' corre riesgo de ser percibido como una versión más de algo que ya existe. El hueco real no está en producir más contenido, sino en construir una lectura estructurada y comparativa del sistema.</w:t>
      </w:r>
    </w:p>
    <w:p>
      <w:r>
        <w:t>Conclusión: la categoría correcta no es 'portal con información sobre la REP'. La categoría correcta, si se quiere abrir un espacio propio, es 'observatorio inteligente' o 'radar regulatorio-ecosistémico'.</w:t>
      </w:r>
    </w:p>
    <w:p>
      <w:pPr>
        <w:pStyle w:val="Heading1"/>
      </w:pPr>
      <w:r>
        <w:t>7. Frente 4: asimetría entre sistemas de gestión y brecha informacional</w:t>
      </w:r>
    </w:p>
    <w:p>
      <w:r>
        <w:t>La oferta digital privada del ecosistema no es homogénea. ReSimple exhibe una huella pública más robusta, con Monitoring para no domiciliarios, publicaciones de tarifas, licitaciones y app. GIRO también ha comunicado una plataforma propia con foco en trazabilidad y transparencia. Otros sistemas muestran menos nivel de detalle público o menos densidad visible de herramientas.</w:t>
      </w:r>
    </w:p>
    <w:p>
      <w:r>
        <w:t>Esta asimetría importa por dos razones. Primero, porque confirma que la madurez digital es desigual. Segundo, porque muestra que la información operativa está encapsulada en silos privados. Para un tercero, entender el sistema completo requiere navegar piezas muy dispares.</w:t>
      </w:r>
    </w:p>
    <w:p>
      <w:r>
        <w:t>Conclusión: la asimetría informacional es uno de los fundamentos más sólidos del Radar REP. No para invadir esas plataformas, sino para traducir el hecho de que el ecosistema no tiene una vista común y homogénea.</w:t>
      </w:r>
    </w:p>
    <w:p>
      <w:pPr>
        <w:pStyle w:val="Heading1"/>
      </w:pPr>
      <w:r>
        <w:t>8. Frente 5: oferta estatal ampliada</w:t>
      </w:r>
    </w:p>
    <w:p>
      <w:r>
        <w:t>Revisado con más calma, el Estado no ofrece poco; ofrece mucho, pero por capas separadas. El MMA entrega norma, política pública, manuales, instrumentos de apoyo, Fondo para el Reciclaje y registro de recicladores de base. PortalVU/RETC organiza registros, declaraciones y manuales operativos. La SMA aporta instructivos, SISREP, preguntas frecuentes, videos, fiscalización, open data y sanción. Y el reglamento sanitario 2026 introduce una capa adicional de habilitación e infraestructura sanitaria para recepción y almacenamiento.</w:t>
      </w:r>
    </w:p>
    <w:p>
      <w:r>
        <w:t>Esto cambia el diseño estratégico. Si el producto imita al Estado, fracasa: el Estado ya cubre norma, registro, reporte y fiscalización. El valor solo aparece cuando se ordenan esas piezas para un usuario que necesita contexto, comparación y alertas de entorno, no otro formulario.</w:t>
      </w:r>
    </w:p>
    <w:p>
      <w:r>
        <w:t>Conclusión: el radar debe presentarse como complemento cognitivo del sistema público, no como sustituto funcional.</w:t>
      </w:r>
    </w:p>
    <w:p>
      <w:pPr>
        <w:pStyle w:val="Heading1"/>
      </w:pPr>
      <w:r>
        <w:t>9. Frente 6: microeconomía del ecosistema</w:t>
      </w:r>
    </w:p>
    <w:p>
      <w:r>
        <w:t>Aunque no existe una transparencia amplia de precios en todos los softwares o servicios, sí hay señales suficientes de mercado. Hay cursos pagos, servicios de cálculo o auditoría de cuota, plataformas privadas, tarifas publicadas por sistemas de gestión, licitaciones y costos operativos asociados a recolección, trazabilidad y valorización.</w:t>
      </w:r>
    </w:p>
    <w:p>
      <w:r>
        <w:t>En términos económicos, eso muestra que la REP ya es un mercado de cumplimiento, coordinación y reducción de fricción. No es simplemente una obligación legal abstracta. La pregunta comercial relevante es si un radar reduce incertidumbre, tiempo de interpretación o errores de decisión de una forma que justifique pago.</w:t>
      </w:r>
    </w:p>
    <w:p>
      <w:r>
        <w:t>Conclusión: el espacio económico no está en vender un 'medio' más, sino en capturar valor por mejor orientación en un mercado donde equivocarse, llegar tarde o leer mal el entorno tiene costo.</w:t>
      </w:r>
    </w:p>
    <w:p>
      <w:pPr>
        <w:pStyle w:val="Heading1"/>
      </w:pPr>
      <w:r>
        <w:t>10. Frente 7: periferia territorial, municipios, recicladores de base y actores intermedios</w:t>
      </w:r>
    </w:p>
    <w:p>
      <w:r>
        <w:t>El ecosistema REP chileno no puede leerse solo desde productores y sistemas de gestión. Municipios, asociaciones municipales, recicladores de base, gestores pequeños, cooperativas, campañas territoriales y fondos públicos son parte estructural del sistema. La propia ley y el MMA empujan la inclusión de recicladores de base; el Fondo para el Reciclaje fortalece capacidades locales; y el desempeño territorial condiciona la capacidad real de captura y valorización.</w:t>
      </w:r>
    </w:p>
    <w:p>
      <w:r>
        <w:t>Además, iniciativas como el Pacto Chileno de los Plásticos y campañas asociadas muestran que la transformación del sistema no es solo operativa, sino también cultural. Los estudios de hábitos y reciclaje siguen detectando brechas relevantes.</w:t>
      </w:r>
    </w:p>
    <w:p>
      <w:r>
        <w:t>Conclusión: si el radar ignora la periferia del sistema, se vuelve una herramienta elitista y parcial. La capa ecosistémica debe incluir territorio, capacidad, inclusión y brechas.</w:t>
      </w:r>
    </w:p>
    <w:p>
      <w:pPr>
        <w:pStyle w:val="Heading1"/>
      </w:pPr>
      <w:r>
        <w:t>11. Frente 8: benchmark internacional de observatorios, registros y portales</w:t>
      </w:r>
    </w:p>
    <w:p>
      <w:r>
        <w:t>Internacionalmente no hay un solo patrón, sino un stack. Alemania tiene un registro público fuerte y verificable con LUCID. Francia combina un esquema EPR maduro con portal cliente y herramientas de análisis/reciclabilidad como TREE. Bélgica articula afiliación, declaración y resultados agregados con Valipac. APCO/PREP une membresía, reciclabilidad y etiquetado. Circular Action Alliance coordina el registro y reporting de varios estados en Estados Unidos. La OCDE, además, documenta la expansión de la EPR a nuevos grupos de productos y desafíos a lo largo del ciclo de vida.</w:t>
      </w:r>
    </w:p>
    <w:p>
      <w:r>
        <w:t>La lección comparada no es copiar un portal extranjero. La lección es otra: los ecosistemas maduros separan claramente la capa regulatoria, la capa operativa y la capa de inteligencia/diseño. Chile ya tiene piezas de las dos primeras; la tercera sigue siendo más débil.</w:t>
      </w:r>
    </w:p>
    <w:p>
      <w:r>
        <w:t>Conclusión: la categoría Radar REP sí tiene sentido comparado, pero solo si se concibe como capa de observabilidad, no como réplica local de un portal transaccional.</w:t>
      </w:r>
    </w:p>
    <w:p>
      <w:pPr>
        <w:pStyle w:val="Heading1"/>
      </w:pPr>
      <w:r>
        <w:t>12. Implicancias estratégicas preliminares</w:t>
      </w:r>
    </w:p>
    <w:p>
      <w:r>
        <w:t>Del conjunto de la investigación sale una tesis pre-propuesta. No conviene competir contra intranets de sistemas de gestión, ni duplicar el rol estatal, ni replicar medios y cursos. El espacio más defendible está en una categoría distinta: una capa neutral de observabilidad e inteligencia del ecosistema REP chileno.</w:t>
      </w:r>
    </w:p>
    <w:p>
      <w:r>
        <w:t>Esa capa debe nacer desde señales públicas, datasets, normativa, registros, sanciones, capacidad territorial y benchmarks agregados. Solo después, y de manera optativa, puede agregar una capa privada para que un usuario se compare contra el entorno. El producto correcto no nace desde la transaccionalidad; nace desde la inteligibilidad.</w:t>
      </w:r>
    </w:p>
    <w:p>
      <w:pPr>
        <w:pStyle w:val="Heading1"/>
      </w:pPr>
      <w:r>
        <w:t>13. Lista de verificación para reconstruir esta investigación</w:t>
      </w:r>
    </w:p>
    <w:p>
      <w:pPr>
        <w:ind w:left="227" w:hanging="227"/>
      </w:pPr>
      <w:r>
        <w:rPr>
          <w:b/>
        </w:rPr>
        <w:t xml:space="preserve">• </w:t>
      </w:r>
      <w:r>
        <w:t>Releer la Ley N° 20.920 y el reglamento sanitario 2026 para fijar el perímetro jurídico y sanitario del sistema.</w:t>
      </w:r>
    </w:p>
    <w:p>
      <w:pPr>
        <w:ind w:left="227" w:hanging="227"/>
      </w:pPr>
      <w:r>
        <w:rPr>
          <w:b/>
        </w:rPr>
        <w:t xml:space="preserve">• </w:t>
      </w:r>
      <w:r>
        <w:t>Recorrer PortalVU, RETC, manuales REP y Caja de Herramientas para mapear la capa pública de registro y declaración.</w:t>
      </w:r>
    </w:p>
    <w:p>
      <w:pPr>
        <w:ind w:left="227" w:hanging="227"/>
      </w:pPr>
      <w:r>
        <w:rPr>
          <w:b/>
        </w:rPr>
        <w:t xml:space="preserve">• </w:t>
      </w:r>
      <w:r>
        <w:t>Revisar instructivos, FAQ y noticias de la SMA sobre SISREP para entender trazabilidad, reportes y fiscalización.</w:t>
      </w:r>
    </w:p>
    <w:p>
      <w:pPr>
        <w:ind w:left="227" w:hanging="227"/>
      </w:pPr>
      <w:r>
        <w:rPr>
          <w:b/>
        </w:rPr>
        <w:t xml:space="preserve">• </w:t>
      </w:r>
      <w:r>
        <w:t>Descargar y auditar los datasets REP abiertos (productos prioritarios, sistemas aprobados, datos abiertos SNIFA) para evaluar cobertura, frecuencia y confiabilidad.</w:t>
      </w:r>
    </w:p>
    <w:p>
      <w:pPr>
        <w:ind w:left="227" w:hanging="227"/>
      </w:pPr>
      <w:r>
        <w:rPr>
          <w:b/>
        </w:rPr>
        <w:t xml:space="preserve">• </w:t>
      </w:r>
      <w:r>
        <w:t>Levantar, sistema por sistema, la huella pública visible de sus plataformas e instrumentos.</w:t>
      </w:r>
    </w:p>
    <w:p>
      <w:pPr>
        <w:ind w:left="227" w:hanging="227"/>
      </w:pPr>
      <w:r>
        <w:rPr>
          <w:b/>
        </w:rPr>
        <w:t xml:space="preserve">• </w:t>
      </w:r>
      <w:r>
        <w:t>Revisar actores informacionales y de apoyo (País Circular, cursos, consultoras, software, pactos, campañas) para detectar duplicidades.</w:t>
      </w:r>
    </w:p>
    <w:p>
      <w:pPr>
        <w:ind w:left="227" w:hanging="227"/>
      </w:pPr>
      <w:r>
        <w:rPr>
          <w:b/>
        </w:rPr>
        <w:t xml:space="preserve">• </w:t>
      </w:r>
      <w:r>
        <w:t>Cruzar el benchmark internacional con una pregunta simple: qué capa cubre cada referencia y cuál de esas capas sigue débil en Chile.</w:t>
      </w:r>
    </w:p>
    <w:p>
      <w:pPr>
        <w:pStyle w:val="Heading1"/>
      </w:pPr>
      <w:r>
        <w:t>14. Fuentes consultadas y ruta de verificación</w:t>
      </w:r>
    </w:p>
    <w:p>
      <w:pPr/>
      <w:r>
        <w:t>La siguiente lista agrupa las fuentes principales utilizadas. No pretende ser exhaustiva a nivel documental menor, pero sí suficiente para reconstruir la investigación y volver a las piezas base.</w:t>
      </w:r>
    </w:p>
    <w:p>
      <w:pPr>
        <w:pStyle w:val="Heading2"/>
      </w:pPr>
      <w:r>
        <w:t>Marco legal y Estado</w:t>
      </w:r>
    </w:p>
    <w:p>
      <w:pPr>
        <w:ind w:left="283" w:hanging="283"/>
      </w:pPr>
      <w:r>
        <w:rPr>
          <w:b/>
        </w:rPr>
        <w:t xml:space="preserve">1. </w:t>
      </w:r>
      <w:r>
        <w:t xml:space="preserve">Biblioteca del Congreso Nacional de Chile, Ley N° 20.920 (Marco para la Gestión de Residuos, REP y Fomento al Reciclaje). </w:t>
      </w:r>
      <w:r>
        <w:rPr>
          <w:i/>
          <w:sz w:val="19"/>
        </w:rPr>
        <w:t>https://www.bcn.cl/leychile/navegar?idNorma=1090894</w:t>
      </w:r>
    </w:p>
    <w:p>
      <w:pPr>
        <w:ind w:left="283" w:hanging="283"/>
      </w:pPr>
      <w:r>
        <w:rPr>
          <w:b/>
        </w:rPr>
        <w:t xml:space="preserve">2. </w:t>
      </w:r>
      <w:r>
        <w:t xml:space="preserve">Biblioteca del Congreso Nacional de Chile, Reglamento sanitario sobre recepción y almacenamiento de residuos de productos prioritarios. </w:t>
      </w:r>
      <w:r>
        <w:rPr>
          <w:i/>
          <w:sz w:val="19"/>
        </w:rPr>
        <w:t>https://www.bcn.cl/leychile/navegar?idNorma=1220286</w:t>
      </w:r>
    </w:p>
    <w:p>
      <w:pPr>
        <w:ind w:left="283" w:hanging="283"/>
      </w:pPr>
      <w:r>
        <w:rPr>
          <w:b/>
        </w:rPr>
        <w:t xml:space="preserve">3. </w:t>
      </w:r>
      <w:r>
        <w:t xml:space="preserve">Ministerio del Medio Ambiente, portal Ley REP / Economía Circular. </w:t>
      </w:r>
      <w:r>
        <w:rPr>
          <w:i/>
          <w:sz w:val="19"/>
        </w:rPr>
        <w:t>https://economiacircular.mma.gob.cl/ley-rep/</w:t>
      </w:r>
    </w:p>
    <w:p>
      <w:pPr>
        <w:ind w:left="283" w:hanging="283"/>
      </w:pPr>
      <w:r>
        <w:rPr>
          <w:b/>
        </w:rPr>
        <w:t xml:space="preserve">4. </w:t>
      </w:r>
      <w:r>
        <w:t xml:space="preserve">Ministerio del Medio Ambiente, Fondo para el Reciclaje. </w:t>
      </w:r>
      <w:r>
        <w:rPr>
          <w:i/>
          <w:sz w:val="19"/>
        </w:rPr>
        <w:t>https://economiacircular.mma.gob.cl/fondo-para-el-reciclaje/</w:t>
      </w:r>
    </w:p>
    <w:p>
      <w:pPr>
        <w:ind w:left="283" w:hanging="283"/>
      </w:pPr>
      <w:r>
        <w:rPr>
          <w:b/>
        </w:rPr>
        <w:t xml:space="preserve">5. </w:t>
      </w:r>
      <w:r>
        <w:t xml:space="preserve">Ministerio del Medio Ambiente, Registro de Recicladores de Base. </w:t>
      </w:r>
      <w:r>
        <w:rPr>
          <w:i/>
          <w:sz w:val="19"/>
        </w:rPr>
        <w:t>https://economiacircular.mma.gob.cl/recicladores-de-base/</w:t>
      </w:r>
    </w:p>
    <w:p>
      <w:pPr>
        <w:ind w:left="283" w:hanging="283"/>
      </w:pPr>
      <w:r>
        <w:rPr>
          <w:b/>
        </w:rPr>
        <w:t xml:space="preserve">6. </w:t>
      </w:r>
      <w:r>
        <w:t xml:space="preserve">Portal VU – Ventanilla Única RETC. </w:t>
      </w:r>
      <w:r>
        <w:rPr>
          <w:i/>
          <w:sz w:val="19"/>
        </w:rPr>
        <w:t>https://portalvu.mma.gob.cl/</w:t>
      </w:r>
    </w:p>
    <w:p>
      <w:pPr>
        <w:ind w:left="283" w:hanging="283"/>
      </w:pPr>
      <w:r>
        <w:rPr>
          <w:b/>
        </w:rPr>
        <w:t xml:space="preserve">7. </w:t>
      </w:r>
      <w:r>
        <w:t xml:space="preserve">Portal VU – Manuales e instructivos REP. </w:t>
      </w:r>
      <w:r>
        <w:rPr>
          <w:i/>
          <w:sz w:val="19"/>
        </w:rPr>
        <w:t>https://portalvu.mma.gob.cl/caja-de-herramientas/manuales/</w:t>
      </w:r>
    </w:p>
    <w:p>
      <w:pPr>
        <w:ind w:left="283" w:hanging="283"/>
      </w:pPr>
      <w:r>
        <w:rPr>
          <w:b/>
        </w:rPr>
        <w:t xml:space="preserve">8. </w:t>
      </w:r>
      <w:r>
        <w:t xml:space="preserve">Portal VU – Videos y capacitaciones REP. </w:t>
      </w:r>
      <w:r>
        <w:rPr>
          <w:i/>
          <w:sz w:val="19"/>
        </w:rPr>
        <w:t>https://portalvu.mma.gob.cl/caja-de-herramientas/videos/</w:t>
      </w:r>
    </w:p>
    <w:p>
      <w:pPr>
        <w:ind w:left="283" w:hanging="283"/>
      </w:pPr>
      <w:r>
        <w:rPr>
          <w:b/>
        </w:rPr>
        <w:t xml:space="preserve">9. </w:t>
      </w:r>
      <w:r>
        <w:t xml:space="preserve">Superintendencia del Medio Ambiente, Ley REP – instructivo y reporte. </w:t>
      </w:r>
      <w:r>
        <w:rPr>
          <w:i/>
          <w:sz w:val="19"/>
        </w:rPr>
        <w:t>https://portal.sma.gob.cl/index.php/ley-rep/instructivo-y-reporte/</w:t>
      </w:r>
    </w:p>
    <w:p>
      <w:pPr>
        <w:ind w:left="283" w:hanging="283"/>
      </w:pPr>
      <w:r>
        <w:rPr>
          <w:b/>
        </w:rPr>
        <w:t xml:space="preserve">10. </w:t>
      </w:r>
      <w:r>
        <w:t xml:space="preserve">Superintendencia del Medio Ambiente, portal Ley REP – instructivos y guías. </w:t>
      </w:r>
      <w:r>
        <w:rPr>
          <w:i/>
          <w:sz w:val="19"/>
        </w:rPr>
        <w:t>https://portal.sma.gob.cl/index.php/portal-regulados/instructivos-y-guias/ley-rep/</w:t>
      </w:r>
    </w:p>
    <w:p>
      <w:pPr>
        <w:ind w:left="283" w:hanging="283"/>
      </w:pPr>
      <w:r>
        <w:rPr>
          <w:b/>
        </w:rPr>
        <w:t xml:space="preserve">11. </w:t>
      </w:r>
      <w:r>
        <w:t xml:space="preserve">SMA, noticia sobre puesta en marcha de SISREP (enero 2025). </w:t>
      </w:r>
      <w:r>
        <w:rPr>
          <w:i/>
          <w:sz w:val="19"/>
        </w:rPr>
        <w:t>https://portal.sma.gob.cl/index.php/sma-pone-a-disposicion-plataforma-de-reporte-para-dar-cumplimiento-a-la-ley-rep/</w:t>
      </w:r>
    </w:p>
    <w:p>
      <w:pPr>
        <w:ind w:left="283" w:hanging="283"/>
      </w:pPr>
      <w:r>
        <w:rPr>
          <w:b/>
        </w:rPr>
        <w:t xml:space="preserve">12. </w:t>
      </w:r>
      <w:r>
        <w:t xml:space="preserve">SMA, videos explicativos para reporte anual en SISREP (febrero 2026). </w:t>
      </w:r>
      <w:r>
        <w:rPr>
          <w:i/>
          <w:sz w:val="19"/>
        </w:rPr>
        <w:t>https://portal.sma.gob.cl/index.php/sma-pone-a-disposicion-videos-explicativos-para-el-reporte-anual-en-sisrep/</w:t>
      </w:r>
    </w:p>
    <w:p>
      <w:pPr>
        <w:pStyle w:val="Heading2"/>
      </w:pPr>
      <w:r>
        <w:t>Datos abiertos y fiscalización</w:t>
      </w:r>
    </w:p>
    <w:p>
      <w:pPr>
        <w:ind w:left="283" w:hanging="283"/>
      </w:pPr>
      <w:r>
        <w:rPr>
          <w:b/>
        </w:rPr>
        <w:t xml:space="preserve">13. </w:t>
      </w:r>
      <w:r>
        <w:t xml:space="preserve">Datos Abiertos SNIFA – Responsabilidad extendida del productor, sancionatorios y sanciones firmes. </w:t>
      </w:r>
      <w:r>
        <w:rPr>
          <w:i/>
          <w:sz w:val="19"/>
        </w:rPr>
        <w:t>https://snifa.sma.gob.cl/DatosAbiertos</w:t>
      </w:r>
    </w:p>
    <w:p>
      <w:pPr>
        <w:ind w:left="283" w:hanging="283"/>
      </w:pPr>
      <w:r>
        <w:rPr>
          <w:b/>
        </w:rPr>
        <w:t xml:space="preserve">14. </w:t>
      </w:r>
      <w:r>
        <w:t xml:space="preserve">SNIFA – Sistema Nacional de Información de Fiscalización Ambiental. </w:t>
      </w:r>
      <w:r>
        <w:rPr>
          <w:i/>
          <w:sz w:val="19"/>
        </w:rPr>
        <w:t>https://snifa.sma.gob.cl/</w:t>
      </w:r>
    </w:p>
    <w:p>
      <w:pPr>
        <w:ind w:left="283" w:hanging="283"/>
      </w:pPr>
      <w:r>
        <w:rPr>
          <w:b/>
        </w:rPr>
        <w:t xml:space="preserve">15. </w:t>
      </w:r>
      <w:r>
        <w:t xml:space="preserve">RETC – dataset REP Productos Prioritarios. </w:t>
      </w:r>
      <w:r>
        <w:rPr>
          <w:i/>
          <w:sz w:val="19"/>
        </w:rPr>
        <w:t>https://datosretc.mma.gob.cl/dataset/productos-prioritarios-rep/resource/fdd31f12-6fd4-4f2d-8a33-453ef167617f</w:t>
      </w:r>
    </w:p>
    <w:p>
      <w:pPr>
        <w:ind w:left="283" w:hanging="283"/>
      </w:pPr>
      <w:r>
        <w:rPr>
          <w:b/>
        </w:rPr>
        <w:t xml:space="preserve">16. </w:t>
      </w:r>
      <w:r>
        <w:t xml:space="preserve">RETC – dataset Sistemas de Gestión Aprobados. </w:t>
      </w:r>
      <w:r>
        <w:rPr>
          <w:i/>
          <w:sz w:val="19"/>
        </w:rPr>
        <w:t>https://datosretc.mma.gob.cl/my_MM/dataset/groups/sistemas-de-gestion-aprobados</w:t>
      </w:r>
    </w:p>
    <w:p>
      <w:pPr>
        <w:pStyle w:val="Heading2"/>
      </w:pPr>
      <w:r>
        <w:t>Sistemas de gestión y privados</w:t>
      </w:r>
    </w:p>
    <w:p>
      <w:pPr>
        <w:ind w:left="283" w:hanging="283"/>
      </w:pPr>
      <w:r>
        <w:rPr>
          <w:b/>
        </w:rPr>
        <w:t xml:space="preserve">17. </w:t>
      </w:r>
      <w:r>
        <w:t xml:space="preserve">ReSimple – categoría no domiciliaria / Monitoring. </w:t>
      </w:r>
      <w:r>
        <w:rPr>
          <w:i/>
          <w:sz w:val="19"/>
        </w:rPr>
        <w:t>https://resimple.cl/empresas/categoria-no-domiciliaria/</w:t>
      </w:r>
    </w:p>
    <w:p>
      <w:pPr>
        <w:ind w:left="283" w:hanging="283"/>
      </w:pPr>
      <w:r>
        <w:rPr>
          <w:b/>
        </w:rPr>
        <w:t xml:space="preserve">18. </w:t>
      </w:r>
      <w:r>
        <w:t xml:space="preserve">ReSimple – tarifas y documentos públicos. </w:t>
      </w:r>
      <w:r>
        <w:rPr>
          <w:i/>
          <w:sz w:val="19"/>
        </w:rPr>
        <w:t>https://resimple.cl/empresas/tarifas/</w:t>
      </w:r>
    </w:p>
    <w:p>
      <w:pPr>
        <w:ind w:left="283" w:hanging="283"/>
      </w:pPr>
      <w:r>
        <w:rPr>
          <w:b/>
        </w:rPr>
        <w:t xml:space="preserve">19. </w:t>
      </w:r>
      <w:r>
        <w:t xml:space="preserve">ReSimple – cotizaciones y recicladores. </w:t>
      </w:r>
      <w:r>
        <w:rPr>
          <w:i/>
          <w:sz w:val="19"/>
        </w:rPr>
        <w:t>https://resimple.cl/recicladores/cotizaciones-actuales/</w:t>
      </w:r>
    </w:p>
    <w:p>
      <w:pPr>
        <w:ind w:left="283" w:hanging="283"/>
      </w:pPr>
      <w:r>
        <w:rPr>
          <w:b/>
        </w:rPr>
        <w:t xml:space="preserve">20. </w:t>
      </w:r>
      <w:r>
        <w:t xml:space="preserve">GIRO – plataforma de trazabilidad, transparencia y reportabilidad. </w:t>
      </w:r>
      <w:r>
        <w:rPr>
          <w:i/>
          <w:sz w:val="19"/>
        </w:rPr>
        <w:t>https://www.paiscircular.cl/economia-circular/giro-lanza-plataforma-tecnologica-para-facilitar-cumplimiento-de-la-rep/</w:t>
      </w:r>
    </w:p>
    <w:p>
      <w:pPr>
        <w:ind w:left="283" w:hanging="283"/>
      </w:pPr>
      <w:r>
        <w:rPr>
          <w:b/>
        </w:rPr>
        <w:t xml:space="preserve">21. </w:t>
      </w:r>
      <w:r>
        <w:t xml:space="preserve">EcoREP – software que automatiza la Ley REP. </w:t>
      </w:r>
      <w:r>
        <w:rPr>
          <w:i/>
          <w:sz w:val="19"/>
        </w:rPr>
        <w:t>https://ecorep.cl/</w:t>
      </w:r>
    </w:p>
    <w:p>
      <w:pPr>
        <w:ind w:left="283" w:hanging="283"/>
      </w:pPr>
      <w:r>
        <w:rPr>
          <w:b/>
        </w:rPr>
        <w:t xml:space="preserve">22. </w:t>
      </w:r>
      <w:r>
        <w:t xml:space="preserve">Acción Circular – Cuotas Ley REP. </w:t>
      </w:r>
      <w:r>
        <w:rPr>
          <w:i/>
          <w:sz w:val="19"/>
        </w:rPr>
        <w:t>https://www.accioncircular.com/cuotas-ley-rep</w:t>
      </w:r>
    </w:p>
    <w:p>
      <w:pPr>
        <w:pStyle w:val="Heading2"/>
      </w:pPr>
      <w:r>
        <w:t>Ecosistema intermedio</w:t>
      </w:r>
    </w:p>
    <w:p>
      <w:pPr>
        <w:ind w:left="283" w:hanging="283"/>
      </w:pPr>
      <w:r>
        <w:rPr>
          <w:b/>
        </w:rPr>
        <w:t xml:space="preserve">23. </w:t>
      </w:r>
      <w:r>
        <w:t xml:space="preserve">País Circular – Foro REP. </w:t>
      </w:r>
      <w:r>
        <w:rPr>
          <w:i/>
          <w:sz w:val="19"/>
        </w:rPr>
        <w:t>https://www.paiscircular.cl/tag/foro-rep/</w:t>
      </w:r>
    </w:p>
    <w:p>
      <w:pPr>
        <w:ind w:left="283" w:hanging="283"/>
      </w:pPr>
      <w:r>
        <w:rPr>
          <w:b/>
        </w:rPr>
        <w:t xml:space="preserve">24. </w:t>
      </w:r>
      <w:r>
        <w:t xml:space="preserve">País Circular – cursos sobre implementación de la Ley REP. </w:t>
      </w:r>
      <w:r>
        <w:rPr>
          <w:i/>
          <w:sz w:val="19"/>
        </w:rPr>
        <w:t>https://cursos.paiscircular.cl/</w:t>
      </w:r>
    </w:p>
    <w:p>
      <w:pPr>
        <w:ind w:left="283" w:hanging="283"/>
      </w:pPr>
      <w:r>
        <w:rPr>
          <w:b/>
        </w:rPr>
        <w:t xml:space="preserve">25. </w:t>
      </w:r>
      <w:r>
        <w:t xml:space="preserve">Fundación Chile – Pacto Chileno de los Plásticos. </w:t>
      </w:r>
      <w:r>
        <w:rPr>
          <w:i/>
          <w:sz w:val="19"/>
        </w:rPr>
        <w:t>https://fch.cl/iniciativa/pacto-chileno-de-los-plasticos/</w:t>
      </w:r>
    </w:p>
    <w:p>
      <w:pPr>
        <w:ind w:left="283" w:hanging="283"/>
      </w:pPr>
      <w:r>
        <w:rPr>
          <w:b/>
        </w:rPr>
        <w:t xml:space="preserve">26. </w:t>
      </w:r>
      <w:r>
        <w:t xml:space="preserve">Fundación Chile – Encuesta Reciclando-Ando 2025. </w:t>
      </w:r>
      <w:r>
        <w:rPr>
          <w:i/>
          <w:sz w:val="19"/>
        </w:rPr>
        <w:t>https://fch.cl/videos-y-podcasts/encuesta-reciclando-ando-2025-como-avanzamos-en-reciclaje-reutilizacion-y-compostables-en-chile/</w:t>
      </w:r>
    </w:p>
    <w:p>
      <w:pPr>
        <w:pStyle w:val="Heading2"/>
      </w:pPr>
      <w:r>
        <w:t>Competencia y gobernanza</w:t>
      </w:r>
    </w:p>
    <w:p>
      <w:pPr>
        <w:ind w:left="283" w:hanging="283"/>
      </w:pPr>
      <w:r>
        <w:rPr>
          <w:b/>
        </w:rPr>
        <w:t xml:space="preserve">27. </w:t>
      </w:r>
      <w:r>
        <w:t xml:space="preserve">Fiscalía Nacional Económica – recomendaciones sobre ReSimple y libre competencia. </w:t>
      </w:r>
      <w:r>
        <w:rPr>
          <w:i/>
          <w:sz w:val="19"/>
        </w:rPr>
        <w:t>https://www.fne.gob.cl/tdlc-incorporo-recomendaciones-de-la-fne-en-informe-dictado-en-el-marco-de-la-ley-rep-para-el-principal-sistema-colectivo-de-gestion-de-residuos-del-pais/</w:t>
      </w:r>
    </w:p>
    <w:p>
      <w:pPr>
        <w:ind w:left="283" w:hanging="283"/>
      </w:pPr>
      <w:r>
        <w:rPr>
          <w:b/>
        </w:rPr>
        <w:t xml:space="preserve">28. </w:t>
      </w:r>
      <w:r>
        <w:t xml:space="preserve">Fiscalía Nacional Económica – solicitud de ajustes para sistema colectivo de aceites lubricantes usados. </w:t>
      </w:r>
      <w:r>
        <w:rPr>
          <w:i/>
          <w:sz w:val="19"/>
        </w:rPr>
        <w:t>https://www.fne.gob.cl/fne-solicita-al-tdlc-modificar-estatutos-y-bases-de-licitacion-de-sistema-colectivo-de-gestion-de-residuos/</w:t>
      </w:r>
    </w:p>
    <w:p>
      <w:pPr>
        <w:pStyle w:val="Heading2"/>
      </w:pPr>
      <w:r>
        <w:t>Benchmark internacional</w:t>
      </w:r>
    </w:p>
    <w:p>
      <w:pPr>
        <w:ind w:left="283" w:hanging="283"/>
      </w:pPr>
      <w:r>
        <w:rPr>
          <w:b/>
        </w:rPr>
        <w:t xml:space="preserve">29. </w:t>
      </w:r>
      <w:r>
        <w:t xml:space="preserve">OECD – New aspects of EPR (2024). </w:t>
      </w:r>
      <w:r>
        <w:rPr>
          <w:i/>
          <w:sz w:val="19"/>
        </w:rPr>
        <w:t>https://www.oecd.org/content/dam/oecd/en/publications/reports/2023/11/new-aspects-of-epr-extending-producer-responsibility-to-additional-product-groups-and-challenges-throughout-the-product-lifecycle_84483c40/cfdc1bdc-en.pdf</w:t>
      </w:r>
    </w:p>
    <w:p>
      <w:pPr>
        <w:ind w:left="283" w:hanging="283"/>
      </w:pPr>
      <w:r>
        <w:rPr>
          <w:b/>
        </w:rPr>
        <w:t xml:space="preserve">30. </w:t>
      </w:r>
      <w:r>
        <w:t xml:space="preserve">ZSVR / LUCID – public registers. </w:t>
      </w:r>
      <w:r>
        <w:rPr>
          <w:i/>
          <w:sz w:val="19"/>
        </w:rPr>
        <w:t>https://www.verpackungsregister.org/en/foundation-authority/public-registers</w:t>
      </w:r>
    </w:p>
    <w:p>
      <w:pPr>
        <w:ind w:left="283" w:hanging="283"/>
      </w:pPr>
      <w:r>
        <w:rPr>
          <w:b/>
        </w:rPr>
        <w:t xml:space="preserve">31. </w:t>
      </w:r>
      <w:r>
        <w:t xml:space="preserve">Citeo – client portal. </w:t>
      </w:r>
      <w:r>
        <w:rPr>
          <w:i/>
          <w:sz w:val="19"/>
        </w:rPr>
        <w:t>https://www.citeo.com/en/client-portal/</w:t>
      </w:r>
    </w:p>
    <w:p>
      <w:pPr>
        <w:ind w:left="283" w:hanging="283"/>
      </w:pPr>
      <w:r>
        <w:rPr>
          <w:b/>
        </w:rPr>
        <w:t xml:space="preserve">32. </w:t>
      </w:r>
      <w:r>
        <w:t xml:space="preserve">TREE by Citeo – recyclability assessment. </w:t>
      </w:r>
      <w:r>
        <w:rPr>
          <w:i/>
          <w:sz w:val="19"/>
        </w:rPr>
        <w:t>https://tree.citeo.com/en/</w:t>
      </w:r>
    </w:p>
    <w:p>
      <w:pPr>
        <w:ind w:left="283" w:hanging="283"/>
      </w:pPr>
      <w:r>
        <w:rPr>
          <w:b/>
        </w:rPr>
        <w:t xml:space="preserve">33. </w:t>
      </w:r>
      <w:r>
        <w:t xml:space="preserve">Valipac – affiliation and declaration 2026. </w:t>
      </w:r>
      <w:r>
        <w:rPr>
          <w:i/>
          <w:sz w:val="19"/>
        </w:rPr>
        <w:t>https://www.valipac.be/en/affiliation-2026/</w:t>
      </w:r>
    </w:p>
    <w:p>
      <w:pPr>
        <w:ind w:left="283" w:hanging="283"/>
      </w:pPr>
      <w:r>
        <w:rPr>
          <w:b/>
        </w:rPr>
        <w:t xml:space="preserve">34. </w:t>
      </w:r>
      <w:r>
        <w:t xml:space="preserve">Valipac Academy – myDeclaration. </w:t>
      </w:r>
      <w:r>
        <w:rPr>
          <w:i/>
          <w:sz w:val="19"/>
        </w:rPr>
        <w:t>https://valipac.academy/en/modules/how-to-complete-your-declaration/how-to-submit-your-declaration/</w:t>
      </w:r>
    </w:p>
    <w:p>
      <w:pPr>
        <w:ind w:left="283" w:hanging="283"/>
      </w:pPr>
      <w:r>
        <w:rPr>
          <w:b/>
        </w:rPr>
        <w:t xml:space="preserve">35. </w:t>
      </w:r>
      <w:r>
        <w:t xml:space="preserve">APCO – ARL / PREP FAQs. </w:t>
      </w:r>
      <w:r>
        <w:rPr>
          <w:i/>
          <w:sz w:val="19"/>
        </w:rPr>
        <w:t>https://apco.org.au/faqs?category=Australasian+Recycling+Label+Program</w:t>
      </w:r>
    </w:p>
    <w:p>
      <w:pPr>
        <w:ind w:left="283" w:hanging="283"/>
      </w:pPr>
      <w:r>
        <w:rPr>
          <w:b/>
        </w:rPr>
        <w:t xml:space="preserve">36. </w:t>
      </w:r>
      <w:r>
        <w:t xml:space="preserve">PREP – home. </w:t>
      </w:r>
      <w:r>
        <w:rPr>
          <w:i/>
          <w:sz w:val="19"/>
        </w:rPr>
        <w:t>https://prep.org.au/</w:t>
      </w:r>
    </w:p>
    <w:p>
      <w:pPr>
        <w:ind w:left="283" w:hanging="283"/>
      </w:pPr>
      <w:r>
        <w:rPr>
          <w:b/>
        </w:rPr>
        <w:t xml:space="preserve">37. </w:t>
      </w:r>
      <w:r>
        <w:t xml:space="preserve">Circular Action Alliance – producer registration. </w:t>
      </w:r>
      <w:r>
        <w:rPr>
          <w:i/>
          <w:sz w:val="19"/>
        </w:rPr>
        <w:t>https://circularactionalliance.org/registration</w:t>
      </w:r>
    </w:p>
    <w:sectPr w:rsidR="00FC693F" w:rsidRPr="0006063C" w:rsidSect="00034616">
      <w:headerReference w:type="default" r:id="rId9"/>
      <w:footerReference w:type="default" r:id="rId10"/>
      <w:pgSz w:w="12240" w:h="15840"/>
      <w:pgMar w:top="1247" w:right="1247" w:bottom="1134" w:left="1361"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Documento de trabajo | abril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Brief de investigación | REP Chile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eastAsia="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Aptos" w:hAnsi="Aptos" w:eastAsia="Aptos"/>
      <w:b/>
      <w:bCs/>
      <w:color w:val="21252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basedOn w:val="Normal"/>
    <w:pPr>
      <w:spacing w:after="280"/>
    </w:pPr>
    <w:rPr>
      <w:rFonts w:ascii="Aptos" w:hAnsi="Aptos" w:eastAsia="Aptos"/>
      <w:i/>
      <w:color w:val="5A6268"/>
      <w:sz w:val="22"/>
    </w:rPr>
  </w:style>
  <w:style w:type="paragraph" w:customStyle="1" w:styleId="Small">
    <w:name w:val="Small"/>
    <w:basedOn w:val="Normal"/>
    <w:pPr>
      <w:spacing w:after="80"/>
    </w:pPr>
    <w:rPr>
      <w:rFonts w:ascii="Aptos" w:hAnsi="Aptos" w:eastAsia="Aptos"/>
      <w:color w:val="5A62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