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Tesis conceptuales del producto</w:t>
      </w:r>
    </w:p>
    <w:p>
      <w:pPr>
        <w:pStyle w:val="DocSubtitle"/>
      </w:pPr>
      <w:r>
        <w:t>Radar REP como capa de observabilidad e inteligencia del ecosistema REP chileno</w:t>
      </w:r>
    </w:p>
    <w:p>
      <w:pPr>
        <w:spacing w:after="360"/>
      </w:pPr>
      <w:r>
        <w:rPr>
          <w:b/>
        </w:rPr>
        <w:t>Documento conceptual de segundo nivel | pensado para ordenar la categoría del producto antes de entrar a arquitectura.</w:t>
      </w:r>
    </w:p>
    <w:tbl>
      <w:tblPr>
        <w:tblW w:type="auto" w:w="0"/>
        <w:jc w:val="left"/>
        <w:tblLayout w:type="fixed"/>
        <w:tblLook w:firstColumn="1" w:firstRow="1" w:lastColumn="0" w:lastRow="0" w:noHBand="0" w:noVBand="1" w:val="04A0"/>
      </w:tblPr>
      <w:tblGrid>
        <w:gridCol w:w="9632"/>
      </w:tblGrid>
      <w:tr>
        <w:tc>
          <w:tcPr>
            <w:tcW w:type="dxa" w:w="8787"/>
            <w:shd w:fill="EAF2F8"/>
            <w:vAlign w:val="center"/>
          </w:tcPr>
          <w:p>
            <w:pPr>
              <w:spacing w:after="0"/>
            </w:pPr>
            <w:r>
              <w:rPr>
                <w:sz w:val="20"/>
              </w:rPr>
              <w:t>Nota de uso: este documento está pensado como respaldo de estudio y decisión. Reúne hallazgos, límites, fuentes y criterios de interpretación suficientes para reconstruir la investigación sin depender del chat.</w:t>
            </w:r>
          </w:p>
        </w:tc>
      </w:tr>
    </w:tbl>
    <w:p/>
    <w:p>
      <w:pPr>
        <w:pStyle w:val="Heading1"/>
      </w:pPr>
      <w:r>
        <w:t>1. Propósito</w:t>
      </w:r>
    </w:p>
    <w:p>
      <w:r>
        <w:t>Este documento fija la definición conceptual del producto luego de revisar el marco legal, el ecosistema institucional, las plataformas privadas existentes, los actores intermedios y el benchmark internacional. No desarrolla arquitectura ni roadmap técnico; su tarea es ordenar la categoría del producto y protegerlo de una definición equivocada.</w:t>
      </w:r>
    </w:p>
    <w:p>
      <w:r>
        <w:t>La tesis central es que el producto correcto no debe nacer como software transaccional de cumplimiento ni como una nueva intranet para sistemas de gestión. Debe nacer como una capa de observabilidad e inteligencia del ecosistema REP chileno.</w:t>
      </w:r>
    </w:p>
    <w:p>
      <w:pPr>
        <w:pStyle w:val="Heading1"/>
      </w:pPr>
      <w:r>
        <w:t>2. Tesis central</w:t>
      </w:r>
    </w:p>
    <w:p>
      <w:r>
        <w:t>Radar REP no es software para ejecutar la REP. Es software para entender cómo se está ejecutando la REP, cómo está cambiando el entorno y dónde aparecen señales, asimetrías, brechas y riesgos que hoy se ven fragmentados.</w:t>
      </w:r>
    </w:p>
    <w:p>
      <w:r>
        <w:t>En términos de categoría, no corresponde a un system of record, ni a un workflow engine, ni a una ventanilla transaccional. Corresponde a una control tower regulatoria-ecosistémica: una herramienta cuya función principal es hacer legible un sistema complejo sin sustituir la verdad oficial del regulador ni la verdad operativa privada de los sistemas de gestión.</w:t>
      </w:r>
    </w:p>
    <w:p>
      <w:r>
        <w:t>La palabra radar es conceptualmente adecuada porque describe una función de detección, lectura y anticipación. Un radar no reemplaza el fenómeno observado; identifica señales y ayuda a interpretarlas con mayor anticipación que una mirada fragmentada.</w:t>
      </w:r>
    </w:p>
    <w:p>
      <w:pPr>
        <w:pStyle w:val="Heading1"/>
      </w:pPr>
      <w:r>
        <w:t>3. Qué es y qué no es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268"/>
            <w:shd w:fill="D9EAF7"/>
            <w:vAlign w:val="center"/>
          </w:tcPr>
          <w:p>
            <w:pPr>
              <w:jc w:val="center"/>
            </w:pPr>
            <w:r>
              <w:rPr>
                <w:b/>
                <w:sz w:val="19"/>
              </w:rPr>
              <w:t>Dimensión</w:t>
            </w:r>
          </w:p>
        </w:tc>
        <w:tc>
          <w:tcPr>
            <w:tcW w:type="dxa" w:w="4082"/>
            <w:shd w:fill="D9EAF7"/>
            <w:vAlign w:val="center"/>
          </w:tcPr>
          <w:p>
            <w:pPr>
              <w:jc w:val="center"/>
            </w:pPr>
            <w:r>
              <w:rPr>
                <w:b/>
                <w:sz w:val="19"/>
              </w:rPr>
              <w:t>Sí es</w:t>
            </w:r>
          </w:p>
        </w:tc>
        <w:tc>
          <w:tcPr>
            <w:tcW w:type="dxa" w:w="4082"/>
            <w:shd w:fill="D9EAF7"/>
            <w:vAlign w:val="center"/>
          </w:tcPr>
          <w:p>
            <w:pPr>
              <w:jc w:val="center"/>
            </w:pPr>
            <w:r>
              <w:rPr>
                <w:b/>
                <w:sz w:val="19"/>
              </w:rPr>
              <w:t>No es</w:t>
            </w:r>
          </w:p>
        </w:tc>
      </w:tr>
      <w:tr>
        <w:tc>
          <w:tcPr>
            <w:tcW w:type="dxa" w:w="2268"/>
            <w:vAlign w:val="center"/>
          </w:tcPr>
          <w:p>
            <w:pPr>
              <w:jc w:val="left"/>
            </w:pPr>
            <w:r>
              <w:rPr>
                <w:sz w:val="18"/>
              </w:rPr>
              <w:t>Relación con el Estado</w:t>
            </w:r>
          </w:p>
        </w:tc>
        <w:tc>
          <w:tcPr>
            <w:tcW w:type="dxa" w:w="4082"/>
            <w:vAlign w:val="center"/>
          </w:tcPr>
          <w:p>
            <w:pPr>
              <w:jc w:val="left"/>
            </w:pPr>
            <w:r>
              <w:rPr>
                <w:sz w:val="18"/>
              </w:rPr>
              <w:t>Complemento cognitivo que integra señales públicas, normativa, datasets, sanciones, cronologías y mapas del ecosistema.</w:t>
            </w:r>
          </w:p>
        </w:tc>
        <w:tc>
          <w:tcPr>
            <w:tcW w:type="dxa" w:w="4082"/>
            <w:vAlign w:val="center"/>
          </w:tcPr>
          <w:p>
            <w:pPr>
              <w:jc w:val="left"/>
            </w:pPr>
            <w:r>
              <w:rPr>
                <w:sz w:val="18"/>
              </w:rPr>
              <w:t>Vía oficial de reporte, ventanilla de declaraciones o certificador de cumplimiento.</w:t>
            </w:r>
          </w:p>
        </w:tc>
      </w:tr>
      <w:tr>
        <w:tc>
          <w:tcPr>
            <w:tcW w:type="dxa" w:w="2268"/>
            <w:vAlign w:val="center"/>
          </w:tcPr>
          <w:p>
            <w:pPr>
              <w:jc w:val="left"/>
            </w:pPr>
            <w:r>
              <w:rPr>
                <w:sz w:val="18"/>
              </w:rPr>
              <w:t>Relación con sistemas de gestión</w:t>
            </w:r>
          </w:p>
        </w:tc>
        <w:tc>
          <w:tcPr>
            <w:tcW w:type="dxa" w:w="4082"/>
            <w:vAlign w:val="center"/>
          </w:tcPr>
          <w:p>
            <w:pPr>
              <w:jc w:val="left"/>
            </w:pPr>
            <w:r>
              <w:rPr>
                <w:sz w:val="18"/>
              </w:rPr>
              <w:t>Capa auxiliar y neutral que ayuda a leer el entorno y comparar contexto sin tocar la operación privada.</w:t>
            </w:r>
          </w:p>
        </w:tc>
        <w:tc>
          <w:tcPr>
            <w:tcW w:type="dxa" w:w="4082"/>
            <w:vAlign w:val="center"/>
          </w:tcPr>
          <w:p>
            <w:pPr>
              <w:jc w:val="left"/>
            </w:pPr>
            <w:r>
              <w:rPr>
                <w:sz w:val="18"/>
              </w:rPr>
              <w:t>Intranet para afiliados, plataforma de transacciones, repositorio de documentos operativos o reemplazo de herramientas como Monitoring.</w:t>
            </w:r>
          </w:p>
        </w:tc>
      </w:tr>
      <w:tr>
        <w:tc>
          <w:tcPr>
            <w:tcW w:type="dxa" w:w="2268"/>
            <w:vAlign w:val="center"/>
          </w:tcPr>
          <w:p>
            <w:pPr>
              <w:jc w:val="left"/>
            </w:pPr>
            <w:r>
              <w:rPr>
                <w:sz w:val="18"/>
              </w:rPr>
              <w:t>Relación con medios y foros</w:t>
            </w:r>
          </w:p>
        </w:tc>
        <w:tc>
          <w:tcPr>
            <w:tcW w:type="dxa" w:w="4082"/>
            <w:vAlign w:val="center"/>
          </w:tcPr>
          <w:p>
            <w:pPr>
              <w:jc w:val="left"/>
            </w:pPr>
            <w:r>
              <w:rPr>
                <w:sz w:val="18"/>
              </w:rPr>
              <w:t>Infraestructura de inteligencia, comparable y trazable.</w:t>
            </w:r>
          </w:p>
        </w:tc>
        <w:tc>
          <w:tcPr>
            <w:tcW w:type="dxa" w:w="4082"/>
            <w:vAlign w:val="center"/>
          </w:tcPr>
          <w:p>
            <w:pPr>
              <w:jc w:val="left"/>
            </w:pPr>
            <w:r>
              <w:rPr>
                <w:sz w:val="18"/>
              </w:rPr>
              <w:t>Medio editorial, curso, foro o espacio de conversación sectorial.</w:t>
            </w:r>
          </w:p>
        </w:tc>
      </w:tr>
      <w:tr>
        <w:tc>
          <w:tcPr>
            <w:tcW w:type="dxa" w:w="2268"/>
            <w:vAlign w:val="center"/>
          </w:tcPr>
          <w:p>
            <w:pPr>
              <w:jc w:val="left"/>
            </w:pPr>
            <w:r>
              <w:rPr>
                <w:sz w:val="18"/>
              </w:rPr>
              <w:t>Tipo de valor</w:t>
            </w:r>
          </w:p>
        </w:tc>
        <w:tc>
          <w:tcPr>
            <w:tcW w:type="dxa" w:w="4082"/>
            <w:vAlign w:val="center"/>
          </w:tcPr>
          <w:p>
            <w:pPr>
              <w:jc w:val="left"/>
            </w:pPr>
            <w:r>
              <w:rPr>
                <w:sz w:val="18"/>
              </w:rPr>
              <w:t>Inteligibilidad, comparación, alerta temprana, contexto y reducción de asimetría informativa.</w:t>
            </w:r>
          </w:p>
        </w:tc>
        <w:tc>
          <w:tcPr>
            <w:tcW w:type="dxa" w:w="4082"/>
            <w:vAlign w:val="center"/>
          </w:tcPr>
          <w:p>
            <w:pPr>
              <w:jc w:val="left"/>
            </w:pPr>
            <w:r>
              <w:rPr>
                <w:sz w:val="18"/>
              </w:rPr>
              <w:t>Automatización principal del cumplimiento, cálculo oficial de cuotas o auditoría sustitutiva.</w:t>
            </w:r>
          </w:p>
        </w:tc>
      </w:tr>
    </w:tbl>
    <w:p/>
    <w:p>
      <w:pPr>
        <w:pStyle w:val="Heading1"/>
      </w:pPr>
      <w:r>
        <w:t>4. Diferenciación estratégica frente al Estado</w:t>
      </w:r>
    </w:p>
    <w:p>
      <w:r>
        <w:t>El Estado chileno ya cubre varias funciones esenciales: el MMA ordena política pública, manuales, instrumentos de apoyo, Fondo para el Reciclaje y registros específicos; PortalVU/RETC organiza registros y declaraciones; la SMA establece la trazabilidad, el reporte y la fiscalización mediante instructivos, SISREP, open data y procedimientos sancionatorios.</w:t>
      </w:r>
    </w:p>
    <w:p>
      <w:r>
        <w:t>Por lo tanto, Radar REP no debe intentar convertirse en una segunda ventanilla ni en una réplica privada de la institucionalidad. Su lugar es distinto: tomar piezas estatales dispersas y transformarlas en una lectura estructurada, navegable y comparativa. El Estado produce obligación, registro y fiscalización; el radar produce inteligibilidad de ese entramado.</w:t>
      </w:r>
    </w:p>
    <w:p>
      <w:r>
        <w:t>La promesa correcta frente al Estado es de complementariedad. El producto no otorga valor legal, no reemplaza declaraciones y no desplaza a la autoridad. Ayuda a que actores del ecosistema entiendan mejor el sistema en el que ya están obligados a operar.</w:t>
      </w:r>
    </w:p>
    <w:p>
      <w:pPr>
        <w:pStyle w:val="Heading1"/>
      </w:pPr>
      <w:r>
        <w:t>5. Diferenciación estratégica frente a los sistemas de gestión</w:t>
      </w:r>
    </w:p>
    <w:p>
      <w:r>
        <w:t>Los sistemas de gestión compiten por afiliados, contratos, cobertura y confianza. Además, en varios casos ya invierten fuertemente en portales, trazabilidad y reportabilidad privada. Esa es una zona de alta inversión, fuerte sensibilidad competitiva y baja disposición a compartir información.</w:t>
      </w:r>
    </w:p>
    <w:p>
      <w:r>
        <w:t>El radar no debe entrar ahí. No administra afiliados, no reemplaza portales privados, no captura transacciones entre productores, consumidores industriales y gestores, no consolida documentación operativa de terceros y no pretende ser la interfaz principal del cumplimiento.</w:t>
      </w:r>
    </w:p>
    <w:p>
      <w:r>
        <w:t>Su relación correcta con los sistemas es la de un auxiliar neutral. Puede servirles para leer el entorno regulatorio, ver cronologías, monitorear señales públicas, observar densidad territorial, mapear cambios de productos prioritarios o contrastar asimetrías del ecosistema. En otras palabras: puede ser útil para cualquier sistema, precisamente porque no intenta sustituir el core de ninguno.</w:t>
      </w:r>
    </w:p>
    <w:p>
      <w:pPr>
        <w:pStyle w:val="Heading1"/>
      </w:pPr>
      <w:r>
        <w:t>6. Diferenciación frente a medios, cursos, consultoras e iniciativas intermedias</w:t>
      </w:r>
    </w:p>
    <w:p>
      <w:r>
        <w:t>País Circular, leyrep.cl, Fundación Chile, el Pacto Chileno de los Plásticos, cursos especializados y consultoras ya ocupan espacios de formación, articulación, visibilidad, conversación sectorial y acompañamiento específico. El ecosistema ya tiene oferta en esa dimensión.</w:t>
      </w:r>
    </w:p>
    <w:p>
      <w:r>
        <w:t>Radar REP no debe duplicar esa capa. Su valor no está en producir más contenido o más capacitación, sino en convertir el sistema en un objeto más legible. Mientras los medios y foros explican o conectan actores, el radar debe ordenar, comparar, historizar y detectar señales.</w:t>
      </w:r>
    </w:p>
    <w:p>
      <w:r>
        <w:t>Eso también protege la categoría del producto. Si se vende como 'portal de información sobre la Ley REP', se diluye. Si se vende como 'infraestructura de inteligencia del ecosistema REP', gana especificidad.</w:t>
      </w:r>
    </w:p>
    <w:p>
      <w:pPr>
        <w:pStyle w:val="Heading1"/>
      </w:pPr>
      <w:r>
        <w:t>7. Principios conceptuales que no conviene mover</w:t>
      </w:r>
    </w:p>
    <w:p>
      <w:pPr>
        <w:ind w:left="227" w:hanging="227"/>
      </w:pPr>
      <w:r>
        <w:rPr>
          <w:b/>
        </w:rPr>
        <w:t xml:space="preserve">• </w:t>
      </w:r>
      <w:r>
        <w:t>Neutralidad operativa: no ingresar al corazón transaccional del cumplimiento.</w:t>
      </w:r>
    </w:p>
    <w:p>
      <w:pPr>
        <w:ind w:left="227" w:hanging="227"/>
      </w:pPr>
      <w:r>
        <w:rPr>
          <w:b/>
        </w:rPr>
        <w:t xml:space="preserve">• </w:t>
      </w:r>
      <w:r>
        <w:t>Public-first: partir desde datos públicos, normativa, registros y señales institucionales; no depender de integraciones privadas tempranas.</w:t>
      </w:r>
    </w:p>
    <w:p>
      <w:pPr>
        <w:ind w:left="227" w:hanging="227"/>
      </w:pPr>
      <w:r>
        <w:rPr>
          <w:b/>
        </w:rPr>
        <w:t xml:space="preserve">• </w:t>
      </w:r>
      <w:r>
        <w:t>Verdad graduada: diferenciar dato legal, dato reportado por regulados, dato validado por autoridad y dato inferido.</w:t>
      </w:r>
    </w:p>
    <w:p>
      <w:pPr>
        <w:ind w:left="227" w:hanging="227"/>
      </w:pPr>
      <w:r>
        <w:rPr>
          <w:b/>
        </w:rPr>
        <w:t xml:space="preserve">• </w:t>
      </w:r>
      <w:r>
        <w:t>Competition-safe: no facilitar intercambio de información comercial sensible ni benchmarking impropio entre competidores.</w:t>
      </w:r>
    </w:p>
    <w:p>
      <w:pPr>
        <w:ind w:left="227" w:hanging="227"/>
      </w:pPr>
      <w:r>
        <w:rPr>
          <w:b/>
        </w:rPr>
        <w:t xml:space="preserve">• </w:t>
      </w:r>
      <w:r>
        <w:t>Lectura temporal: mostrar evolución, hitos y cambios del sistema, no solo una foto estática.</w:t>
      </w:r>
    </w:p>
    <w:p>
      <w:pPr>
        <w:ind w:left="227" w:hanging="227"/>
      </w:pPr>
      <w:r>
        <w:rPr>
          <w:b/>
        </w:rPr>
        <w:t xml:space="preserve">• </w:t>
      </w:r>
      <w:r>
        <w:t>Cobertura ecosistémica: incluir territorio, capacidad, asimetría de actores, periferia municipal y recicladores de base; no quedarse en la punta corporativa.</w:t>
      </w:r>
    </w:p>
    <w:p>
      <w:pPr>
        <w:pStyle w:val="Heading1"/>
      </w:pPr>
      <w:r>
        <w:t>8. La promesa correcta del producto</w:t>
      </w:r>
    </w:p>
    <w:p>
      <w:r>
        <w:t>La promesa no puede ser 'te digo si cumples' ni 'te reemplazo la plataforma del sistema'. Esa promesa sería jurídicamente exagerada, comercialmente agresiva y técnicamente frágil.</w:t>
      </w:r>
    </w:p>
    <w:p>
      <w:r>
        <w:t>La promesa correcta es más sobria y más sólida: Radar REP ayuda a dejar de operar a ciegas. Entrega contexto, orden y señales sobre un entorno regulatorio y competitivo que hoy aparece fragmentado.</w:t>
      </w:r>
    </w:p>
    <w:p>
      <w:r>
        <w:t>Traducido a lenguaje de valor, la herramienta debería reducir asimetría informativa, reducir tiempo cognitivo para entender el entorno, anticipar tensiones y permitir comparación razonable sin invadir información privada.</w:t>
      </w:r>
    </w:p>
    <w:p>
      <w:pPr>
        <w:pStyle w:val="Heading1"/>
      </w:pPr>
      <w:r>
        <w:t>9. Analogía útil para fijar la categoría</w:t>
      </w:r>
    </w:p>
    <w:p>
      <w:r>
        <w:t>La analogía correcta no es la de una app de reciclaje ni la de un ERP ambiental completo. La analogía más útil es la de una terminal de intelligence: algo más cercano a una torre de control sectorial o a una herramienta de market/regulatory intelligence que a una plataforma de workflow.</w:t>
      </w:r>
    </w:p>
    <w:p>
      <w:r>
        <w:t>En esa lógica, el radar no reemplaza SISREP ni Monitoring del mismo modo en que un terminal de mercado no reemplaza la contabilidad interna de una empresa. Lo que hace es poner esa operación en contexto, mostrar el entorno y hacer visibles tendencias, señales y riesgos.</w:t>
      </w:r>
    </w:p>
    <w:p>
      <w:pPr>
        <w:pStyle w:val="Heading1"/>
      </w:pPr>
      <w:r>
        <w:t>10. Bordes rojos del producto</w:t>
      </w:r>
    </w:p>
    <w:p>
      <w:pPr>
        <w:ind w:left="227" w:hanging="227"/>
      </w:pPr>
      <w:r>
        <w:rPr>
          <w:b/>
        </w:rPr>
        <w:t xml:space="preserve">• </w:t>
      </w:r>
      <w:r>
        <w:t>No prometer carga oficial al regulador ni sustitución de SISREP o PortalVU.</w:t>
      </w:r>
    </w:p>
    <w:p>
      <w:pPr>
        <w:ind w:left="227" w:hanging="227"/>
      </w:pPr>
      <w:r>
        <w:rPr>
          <w:b/>
        </w:rPr>
        <w:t xml:space="preserve">• </w:t>
      </w:r>
      <w:r>
        <w:t>No ofrecerse como intranet para afiliados de sistemas de gestión.</w:t>
      </w:r>
    </w:p>
    <w:p>
      <w:pPr>
        <w:ind w:left="227" w:hanging="227"/>
      </w:pPr>
      <w:r>
        <w:rPr>
          <w:b/>
        </w:rPr>
        <w:t xml:space="preserve">• </w:t>
      </w:r>
      <w:r>
        <w:t>No construir dashboards con información privada de terceros sin autorización expresa y base jurídica clara.</w:t>
      </w:r>
    </w:p>
    <w:p>
      <w:pPr>
        <w:ind w:left="227" w:hanging="227"/>
      </w:pPr>
      <w:r>
        <w:rPr>
          <w:b/>
        </w:rPr>
        <w:t xml:space="preserve">• </w:t>
      </w:r>
      <w:r>
        <w:t>No transformarse en un simple medio o repositorio de noticias.</w:t>
      </w:r>
    </w:p>
    <w:p>
      <w:pPr>
        <w:ind w:left="227" w:hanging="227"/>
      </w:pPr>
      <w:r>
        <w:rPr>
          <w:b/>
        </w:rPr>
        <w:t xml:space="preserve">• </w:t>
      </w:r>
      <w:r>
        <w:t>No diluirse en una agenda genérica de economía circular sin foco regulatorio.</w:t>
      </w:r>
    </w:p>
    <w:p>
      <w:pPr>
        <w:ind w:left="227" w:hanging="227"/>
      </w:pPr>
      <w:r>
        <w:rPr>
          <w:b/>
        </w:rPr>
        <w:t xml:space="preserve">• </w:t>
      </w:r>
      <w:r>
        <w:t>No usar comparaciones que puedan ser percibidas como exposición competitiva indebida.</w:t>
      </w:r>
    </w:p>
    <w:p>
      <w:pPr>
        <w:pStyle w:val="Heading1"/>
      </w:pPr>
      <w:r>
        <w:t>11. Usuarios posibles y jerarquía conceptual</w:t>
      </w:r>
    </w:p>
    <w:p>
      <w:r>
        <w:t>Aunque la propuesta de producto se desarrollará después, desde ya conviene fijar una jerarquía. El usuario natural inicial no es la ciudadanía general. Tampoco lo es el sistema de gestión en cuanto operador transaccional. El usuario más lógico es quien necesita una lectura superior del entorno: productores medianos o grandes, consumidores industriales complejos, consultoras especializadas, gremios, actores públicos de análisis y eventualmente los propios sistemas de gestión en su función estratégica, no operativa.</w:t>
      </w:r>
    </w:p>
    <w:p>
      <w:r>
        <w:t>Esto refuerza la tesis de categoría. Radar REP no existe para simplificar el descarte domiciliario; existe para mejorar la comprensión del sistema por parte de quienes deben tomar decisiones dentro de él.</w:t>
      </w:r>
    </w:p>
    <w:p>
      <w:pPr>
        <w:pStyle w:val="Heading1"/>
      </w:pPr>
      <w:r>
        <w:t>12. Cierre conceptual</w:t>
      </w:r>
    </w:p>
    <w:p>
      <w:r>
        <w:t>La definición conceptual que sobrevive a la revisión es clara. Radar REP debe nacer como software para entender, gobernar y anticipar el ecosistema REP chileno, no como software para ejecutar la REP por cuenta de otros.</w:t>
      </w:r>
    </w:p>
    <w:p>
      <w:r>
        <w:t>Su fuerza no está en sustituir piezas existentes, sino en conectarlas sin invadirlas. Esa es la condición para no ser percibido como amenaza por el Estado ni por los sistemas de gestión y, al mismo tiempo, ocupar una categoría que hoy no aparece resuelta de forma integrada en Chile.</w:t>
      </w:r>
    </w:p>
    <w:p>
      <w:pPr>
        <w:pStyle w:val="Heading1"/>
      </w:pPr>
      <w:r>
        <w:t>13. Fuentes base utilizadas para fijar esta tesis</w:t>
      </w:r>
    </w:p>
    <w:p>
      <w:pPr/>
      <w:r>
        <w:t>Se listan a continuación las fuentes más relevantes para la definición conceptual. La base documental completa se encuentra en el brief de investigación.</w:t>
      </w:r>
    </w:p>
    <w:p>
      <w:pPr>
        <w:pStyle w:val="Heading2"/>
      </w:pPr>
      <w:r>
        <w:t>Marco legal y Estado</w:t>
      </w:r>
    </w:p>
    <w:p>
      <w:pPr>
        <w:ind w:left="283" w:hanging="283"/>
      </w:pPr>
      <w:r>
        <w:rPr>
          <w:b/>
        </w:rPr>
        <w:t xml:space="preserve">1. </w:t>
      </w:r>
      <w:r>
        <w:t xml:space="preserve">Biblioteca del Congreso Nacional de Chile, Ley N° 20.920 (Marco para la Gestión de Residuos, REP y Fomento al Reciclaje). </w:t>
      </w:r>
      <w:r>
        <w:rPr>
          <w:i/>
          <w:sz w:val="19"/>
        </w:rPr>
        <w:t>https://www.bcn.cl/leychile/navegar?idNorma=1090894</w:t>
      </w:r>
    </w:p>
    <w:p>
      <w:pPr>
        <w:ind w:left="283" w:hanging="283"/>
      </w:pPr>
      <w:r>
        <w:rPr>
          <w:b/>
        </w:rPr>
        <w:t xml:space="preserve">2. </w:t>
      </w:r>
      <w:r>
        <w:t xml:space="preserve">Biblioteca del Congreso Nacional de Chile, Reglamento sanitario sobre recepción y almacenamiento de residuos de productos prioritarios. </w:t>
      </w:r>
      <w:r>
        <w:rPr>
          <w:i/>
          <w:sz w:val="19"/>
        </w:rPr>
        <w:t>https://www.bcn.cl/leychile/navegar?idNorma=1220286</w:t>
      </w:r>
    </w:p>
    <w:p>
      <w:pPr>
        <w:ind w:left="283" w:hanging="283"/>
      </w:pPr>
      <w:r>
        <w:rPr>
          <w:b/>
        </w:rPr>
        <w:t xml:space="preserve">3. </w:t>
      </w:r>
      <w:r>
        <w:t xml:space="preserve">Ministerio del Medio Ambiente, portal Ley REP / Economía Circular. </w:t>
      </w:r>
      <w:r>
        <w:rPr>
          <w:i/>
          <w:sz w:val="19"/>
        </w:rPr>
        <w:t>https://economiacircular.mma.gob.cl/ley-rep/</w:t>
      </w:r>
    </w:p>
    <w:p>
      <w:pPr>
        <w:ind w:left="283" w:hanging="283"/>
      </w:pPr>
      <w:r>
        <w:rPr>
          <w:b/>
        </w:rPr>
        <w:t xml:space="preserve">4. </w:t>
      </w:r>
      <w:r>
        <w:t xml:space="preserve">Ministerio del Medio Ambiente, Fondo para el Reciclaje. </w:t>
      </w:r>
      <w:r>
        <w:rPr>
          <w:i/>
          <w:sz w:val="19"/>
        </w:rPr>
        <w:t>https://economiacircular.mma.gob.cl/fondo-para-el-reciclaje/</w:t>
      </w:r>
    </w:p>
    <w:p>
      <w:pPr>
        <w:ind w:left="283" w:hanging="283"/>
      </w:pPr>
      <w:r>
        <w:rPr>
          <w:b/>
        </w:rPr>
        <w:t xml:space="preserve">5. </w:t>
      </w:r>
      <w:r>
        <w:t xml:space="preserve">Ministerio del Medio Ambiente, Registro de Recicladores de Base. </w:t>
      </w:r>
      <w:r>
        <w:rPr>
          <w:i/>
          <w:sz w:val="19"/>
        </w:rPr>
        <w:t>https://economiacircular.mma.gob.cl/recicladores-de-base/</w:t>
      </w:r>
    </w:p>
    <w:p>
      <w:pPr>
        <w:ind w:left="283" w:hanging="283"/>
      </w:pPr>
      <w:r>
        <w:rPr>
          <w:b/>
        </w:rPr>
        <w:t xml:space="preserve">6. </w:t>
      </w:r>
      <w:r>
        <w:t xml:space="preserve">Portal VU – Ventanilla Única RETC. </w:t>
      </w:r>
      <w:r>
        <w:rPr>
          <w:i/>
          <w:sz w:val="19"/>
        </w:rPr>
        <w:t>https://portalvu.mma.gob.cl/</w:t>
      </w:r>
    </w:p>
    <w:p>
      <w:pPr>
        <w:ind w:left="283" w:hanging="283"/>
      </w:pPr>
      <w:r>
        <w:rPr>
          <w:b/>
        </w:rPr>
        <w:t xml:space="preserve">7. </w:t>
      </w:r>
      <w:r>
        <w:t xml:space="preserve">Portal VU – Manuales e instructivos REP. </w:t>
      </w:r>
      <w:r>
        <w:rPr>
          <w:i/>
          <w:sz w:val="19"/>
        </w:rPr>
        <w:t>https://portalvu.mma.gob.cl/caja-de-herramientas/manuales/</w:t>
      </w:r>
    </w:p>
    <w:p>
      <w:pPr>
        <w:ind w:left="283" w:hanging="283"/>
      </w:pPr>
      <w:r>
        <w:rPr>
          <w:b/>
        </w:rPr>
        <w:t xml:space="preserve">8. </w:t>
      </w:r>
      <w:r>
        <w:t xml:space="preserve">Portal VU – Videos y capacitaciones REP. </w:t>
      </w:r>
      <w:r>
        <w:rPr>
          <w:i/>
          <w:sz w:val="19"/>
        </w:rPr>
        <w:t>https://portalvu.mma.gob.cl/caja-de-herramientas/videos/</w:t>
      </w:r>
    </w:p>
    <w:p>
      <w:pPr>
        <w:ind w:left="283" w:hanging="283"/>
      </w:pPr>
      <w:r>
        <w:rPr>
          <w:b/>
        </w:rPr>
        <w:t xml:space="preserve">9. </w:t>
      </w:r>
      <w:r>
        <w:t xml:space="preserve">Superintendencia del Medio Ambiente, Ley REP – instructivo y reporte. </w:t>
      </w:r>
      <w:r>
        <w:rPr>
          <w:i/>
          <w:sz w:val="19"/>
        </w:rPr>
        <w:t>https://portal.sma.gob.cl/index.php/ley-rep/instructivo-y-reporte/</w:t>
      </w:r>
    </w:p>
    <w:p>
      <w:pPr>
        <w:ind w:left="283" w:hanging="283"/>
      </w:pPr>
      <w:r>
        <w:rPr>
          <w:b/>
        </w:rPr>
        <w:t xml:space="preserve">10. </w:t>
      </w:r>
      <w:r>
        <w:t xml:space="preserve">Superintendencia del Medio Ambiente, portal Ley REP – instructivos y guías. </w:t>
      </w:r>
      <w:r>
        <w:rPr>
          <w:i/>
          <w:sz w:val="19"/>
        </w:rPr>
        <w:t>https://portal.sma.gob.cl/index.php/portal-regulados/instructivos-y-guias/ley-rep/</w:t>
      </w:r>
    </w:p>
    <w:p>
      <w:pPr>
        <w:ind w:left="283" w:hanging="283"/>
      </w:pPr>
      <w:r>
        <w:rPr>
          <w:b/>
        </w:rPr>
        <w:t xml:space="preserve">11. </w:t>
      </w:r>
      <w:r>
        <w:t xml:space="preserve">SMA, noticia sobre puesta en marcha de SISREP (enero 2025). </w:t>
      </w:r>
      <w:r>
        <w:rPr>
          <w:i/>
          <w:sz w:val="19"/>
        </w:rPr>
        <w:t>https://portal.sma.gob.cl/index.php/sma-pone-a-disposicion-plataforma-de-reporte-para-dar-cumplimiento-a-la-ley-rep/</w:t>
      </w:r>
    </w:p>
    <w:p>
      <w:pPr>
        <w:ind w:left="283" w:hanging="283"/>
      </w:pPr>
      <w:r>
        <w:rPr>
          <w:b/>
        </w:rPr>
        <w:t xml:space="preserve">12. </w:t>
      </w:r>
      <w:r>
        <w:t xml:space="preserve">SMA, videos explicativos para reporte anual en SISREP (febrero 2026). </w:t>
      </w:r>
      <w:r>
        <w:rPr>
          <w:i/>
          <w:sz w:val="19"/>
        </w:rPr>
        <w:t>https://portal.sma.gob.cl/index.php/sma-pone-a-disposicion-videos-explicativos-para-el-reporte-anual-en-sisrep/</w:t>
      </w:r>
    </w:p>
    <w:p>
      <w:pPr>
        <w:pStyle w:val="Heading2"/>
      </w:pPr>
      <w:r>
        <w:t>Datos abiertos y fiscalización</w:t>
      </w:r>
    </w:p>
    <w:p>
      <w:pPr>
        <w:ind w:left="283" w:hanging="283"/>
      </w:pPr>
      <w:r>
        <w:rPr>
          <w:b/>
        </w:rPr>
        <w:t xml:space="preserve">13. </w:t>
      </w:r>
      <w:r>
        <w:t xml:space="preserve">Datos Abiertos SNIFA – Responsabilidad extendida del productor, sancionatorios y sanciones firmes. </w:t>
      </w:r>
      <w:r>
        <w:rPr>
          <w:i/>
          <w:sz w:val="19"/>
        </w:rPr>
        <w:t>https://snifa.sma.gob.cl/DatosAbiertos</w:t>
      </w:r>
    </w:p>
    <w:p>
      <w:pPr>
        <w:ind w:left="283" w:hanging="283"/>
      </w:pPr>
      <w:r>
        <w:rPr>
          <w:b/>
        </w:rPr>
        <w:t xml:space="preserve">14. </w:t>
      </w:r>
      <w:r>
        <w:t xml:space="preserve">SNIFA – Sistema Nacional de Información de Fiscalización Ambiental. </w:t>
      </w:r>
      <w:r>
        <w:rPr>
          <w:i/>
          <w:sz w:val="19"/>
        </w:rPr>
        <w:t>https://snifa.sma.gob.cl/</w:t>
      </w:r>
    </w:p>
    <w:p>
      <w:pPr>
        <w:ind w:left="283" w:hanging="283"/>
      </w:pPr>
      <w:r>
        <w:rPr>
          <w:b/>
        </w:rPr>
        <w:t xml:space="preserve">15. </w:t>
      </w:r>
      <w:r>
        <w:t xml:space="preserve">RETC – dataset REP Productos Prioritarios. </w:t>
      </w:r>
      <w:r>
        <w:rPr>
          <w:i/>
          <w:sz w:val="19"/>
        </w:rPr>
        <w:t>https://datosretc.mma.gob.cl/dataset/productos-prioritarios-rep/resource/fdd31f12-6fd4-4f2d-8a33-453ef167617f</w:t>
      </w:r>
    </w:p>
    <w:p>
      <w:pPr>
        <w:ind w:left="283" w:hanging="283"/>
      </w:pPr>
      <w:r>
        <w:rPr>
          <w:b/>
        </w:rPr>
        <w:t xml:space="preserve">16. </w:t>
      </w:r>
      <w:r>
        <w:t xml:space="preserve">RETC – dataset Sistemas de Gestión Aprobados. </w:t>
      </w:r>
      <w:r>
        <w:rPr>
          <w:i/>
          <w:sz w:val="19"/>
        </w:rPr>
        <w:t>https://datosretc.mma.gob.cl/my_MM/dataset/groups/sistemas-de-gestion-aprobados</w:t>
      </w:r>
    </w:p>
    <w:p>
      <w:pPr>
        <w:pStyle w:val="Heading2"/>
      </w:pPr>
      <w:r>
        <w:t>Sistemas de gestión y privados</w:t>
      </w:r>
    </w:p>
    <w:p>
      <w:pPr>
        <w:ind w:left="283" w:hanging="283"/>
      </w:pPr>
      <w:r>
        <w:rPr>
          <w:b/>
        </w:rPr>
        <w:t xml:space="preserve">17. </w:t>
      </w:r>
      <w:r>
        <w:t xml:space="preserve">ReSimple – categoría no domiciliaria / Monitoring. </w:t>
      </w:r>
      <w:r>
        <w:rPr>
          <w:i/>
          <w:sz w:val="19"/>
        </w:rPr>
        <w:t>https://resimple.cl/empresas/categoria-no-domiciliaria/</w:t>
      </w:r>
    </w:p>
    <w:p>
      <w:pPr>
        <w:ind w:left="283" w:hanging="283"/>
      </w:pPr>
      <w:r>
        <w:rPr>
          <w:b/>
        </w:rPr>
        <w:t xml:space="preserve">18. </w:t>
      </w:r>
      <w:r>
        <w:t xml:space="preserve">ReSimple – tarifas y documentos públicos. </w:t>
      </w:r>
      <w:r>
        <w:rPr>
          <w:i/>
          <w:sz w:val="19"/>
        </w:rPr>
        <w:t>https://resimple.cl/empresas/tarifas/</w:t>
      </w:r>
    </w:p>
    <w:p>
      <w:pPr>
        <w:ind w:left="283" w:hanging="283"/>
      </w:pPr>
      <w:r>
        <w:rPr>
          <w:b/>
        </w:rPr>
        <w:t xml:space="preserve">19. </w:t>
      </w:r>
      <w:r>
        <w:t xml:space="preserve">ReSimple – cotizaciones y recicladores. </w:t>
      </w:r>
      <w:r>
        <w:rPr>
          <w:i/>
          <w:sz w:val="19"/>
        </w:rPr>
        <w:t>https://resimple.cl/recicladores/cotizaciones-actuales/</w:t>
      </w:r>
    </w:p>
    <w:p>
      <w:pPr>
        <w:ind w:left="283" w:hanging="283"/>
      </w:pPr>
      <w:r>
        <w:rPr>
          <w:b/>
        </w:rPr>
        <w:t xml:space="preserve">20. </w:t>
      </w:r>
      <w:r>
        <w:t xml:space="preserve">GIRO – plataforma de trazabilidad, transparencia y reportabilidad. </w:t>
      </w:r>
      <w:r>
        <w:rPr>
          <w:i/>
          <w:sz w:val="19"/>
        </w:rPr>
        <w:t>https://www.paiscircular.cl/economia-circular/giro-lanza-plataforma-tecnologica-para-facilitar-cumplimiento-de-la-rep/</w:t>
      </w:r>
    </w:p>
    <w:p>
      <w:pPr>
        <w:ind w:left="283" w:hanging="283"/>
      </w:pPr>
      <w:r>
        <w:rPr>
          <w:b/>
        </w:rPr>
        <w:t xml:space="preserve">21. </w:t>
      </w:r>
      <w:r>
        <w:t xml:space="preserve">EcoREP – software que automatiza la Ley REP. </w:t>
      </w:r>
      <w:r>
        <w:rPr>
          <w:i/>
          <w:sz w:val="19"/>
        </w:rPr>
        <w:t>https://ecorep.cl/</w:t>
      </w:r>
    </w:p>
    <w:p>
      <w:pPr>
        <w:ind w:left="283" w:hanging="283"/>
      </w:pPr>
      <w:r>
        <w:rPr>
          <w:b/>
        </w:rPr>
        <w:t xml:space="preserve">22. </w:t>
      </w:r>
      <w:r>
        <w:t xml:space="preserve">Acción Circular – Cuotas Ley REP. </w:t>
      </w:r>
      <w:r>
        <w:rPr>
          <w:i/>
          <w:sz w:val="19"/>
        </w:rPr>
        <w:t>https://www.accioncircular.com/cuotas-ley-rep</w:t>
      </w:r>
    </w:p>
    <w:p>
      <w:pPr>
        <w:pStyle w:val="Heading2"/>
      </w:pPr>
      <w:r>
        <w:t>Ecosistema intermedio</w:t>
      </w:r>
    </w:p>
    <w:p>
      <w:pPr>
        <w:ind w:left="283" w:hanging="283"/>
      </w:pPr>
      <w:r>
        <w:rPr>
          <w:b/>
        </w:rPr>
        <w:t xml:space="preserve">23. </w:t>
      </w:r>
      <w:r>
        <w:t xml:space="preserve">País Circular – Foro REP. </w:t>
      </w:r>
      <w:r>
        <w:rPr>
          <w:i/>
          <w:sz w:val="19"/>
        </w:rPr>
        <w:t>https://www.paiscircular.cl/tag/foro-rep/</w:t>
      </w:r>
    </w:p>
    <w:p>
      <w:pPr>
        <w:ind w:left="283" w:hanging="283"/>
      </w:pPr>
      <w:r>
        <w:rPr>
          <w:b/>
        </w:rPr>
        <w:t xml:space="preserve">24. </w:t>
      </w:r>
      <w:r>
        <w:t xml:space="preserve">País Circular – cursos sobre implementación de la Ley REP. </w:t>
      </w:r>
      <w:r>
        <w:rPr>
          <w:i/>
          <w:sz w:val="19"/>
        </w:rPr>
        <w:t>https://cursos.paiscircular.cl/</w:t>
      </w:r>
    </w:p>
    <w:p>
      <w:pPr>
        <w:ind w:left="283" w:hanging="283"/>
      </w:pPr>
      <w:r>
        <w:rPr>
          <w:b/>
        </w:rPr>
        <w:t xml:space="preserve">25. </w:t>
      </w:r>
      <w:r>
        <w:t xml:space="preserve">Fundación Chile – Pacto Chileno de los Plásticos. </w:t>
      </w:r>
      <w:r>
        <w:rPr>
          <w:i/>
          <w:sz w:val="19"/>
        </w:rPr>
        <w:t>https://fch.cl/iniciativa/pacto-chileno-de-los-plasticos/</w:t>
      </w:r>
    </w:p>
    <w:p>
      <w:pPr>
        <w:ind w:left="283" w:hanging="283"/>
      </w:pPr>
      <w:r>
        <w:rPr>
          <w:b/>
        </w:rPr>
        <w:t xml:space="preserve">26. </w:t>
      </w:r>
      <w:r>
        <w:t xml:space="preserve">Fundación Chile – Encuesta Reciclando-Ando 2025. </w:t>
      </w:r>
      <w:r>
        <w:rPr>
          <w:i/>
          <w:sz w:val="19"/>
        </w:rPr>
        <w:t>https://fch.cl/videos-y-podcasts/encuesta-reciclando-ando-2025-como-avanzamos-en-reciclaje-reutilizacion-y-compostables-en-chile/</w:t>
      </w:r>
    </w:p>
    <w:p>
      <w:pPr>
        <w:pStyle w:val="Heading2"/>
      </w:pPr>
      <w:r>
        <w:t>Competencia y gobernanza</w:t>
      </w:r>
    </w:p>
    <w:p>
      <w:pPr>
        <w:ind w:left="283" w:hanging="283"/>
      </w:pPr>
      <w:r>
        <w:rPr>
          <w:b/>
        </w:rPr>
        <w:t xml:space="preserve">27. </w:t>
      </w:r>
      <w:r>
        <w:t xml:space="preserve">Fiscalía Nacional Económica – recomendaciones sobre ReSimple y libre competencia. </w:t>
      </w:r>
      <w:r>
        <w:rPr>
          <w:i/>
          <w:sz w:val="19"/>
        </w:rPr>
        <w:t>https://www.fne.gob.cl/tdlc-incorporo-recomendaciones-de-la-fne-en-informe-dictado-en-el-marco-de-la-ley-rep-para-el-principal-sistema-colectivo-de-gestion-de-residuos-del-pais/</w:t>
      </w:r>
    </w:p>
    <w:p>
      <w:pPr>
        <w:ind w:left="283" w:hanging="283"/>
      </w:pPr>
      <w:r>
        <w:rPr>
          <w:b/>
        </w:rPr>
        <w:t xml:space="preserve">28. </w:t>
      </w:r>
      <w:r>
        <w:t xml:space="preserve">Fiscalía Nacional Económica – solicitud de ajustes para sistema colectivo de aceites lubricantes usados. </w:t>
      </w:r>
      <w:r>
        <w:rPr>
          <w:i/>
          <w:sz w:val="19"/>
        </w:rPr>
        <w:t>https://www.fne.gob.cl/fne-solicita-al-tdlc-modificar-estatutos-y-bases-de-licitacion-de-sistema-colectivo-de-gestion-de-residuos/</w:t>
      </w:r>
    </w:p>
    <w:p>
      <w:pPr>
        <w:pStyle w:val="Heading2"/>
      </w:pPr>
      <w:r>
        <w:t>Benchmark internacional</w:t>
      </w:r>
    </w:p>
    <w:p>
      <w:pPr>
        <w:ind w:left="283" w:hanging="283"/>
      </w:pPr>
      <w:r>
        <w:rPr>
          <w:b/>
        </w:rPr>
        <w:t xml:space="preserve">29. </w:t>
      </w:r>
      <w:r>
        <w:t xml:space="preserve">OECD – New aspects of EPR (2024). </w:t>
      </w:r>
      <w:r>
        <w:rPr>
          <w:i/>
          <w:sz w:val="19"/>
        </w:rPr>
        <w:t>https://www.oecd.org/content/dam/oecd/en/publications/reports/2023/11/new-aspects-of-epr-extending-producer-responsibility-to-additional-product-groups-and-challenges-throughout-the-product-lifecycle_84483c40/cfdc1bdc-en.pdf</w:t>
      </w:r>
    </w:p>
    <w:p>
      <w:pPr>
        <w:ind w:left="283" w:hanging="283"/>
      </w:pPr>
      <w:r>
        <w:rPr>
          <w:b/>
        </w:rPr>
        <w:t xml:space="preserve">30. </w:t>
      </w:r>
      <w:r>
        <w:t xml:space="preserve">ZSVR / LUCID – public registers. </w:t>
      </w:r>
      <w:r>
        <w:rPr>
          <w:i/>
          <w:sz w:val="19"/>
        </w:rPr>
        <w:t>https://www.verpackungsregister.org/en/foundation-authority/public-registers</w:t>
      </w:r>
    </w:p>
    <w:p>
      <w:pPr>
        <w:ind w:left="283" w:hanging="283"/>
      </w:pPr>
      <w:r>
        <w:rPr>
          <w:b/>
        </w:rPr>
        <w:t xml:space="preserve">31. </w:t>
      </w:r>
      <w:r>
        <w:t xml:space="preserve">Citeo – client portal. </w:t>
      </w:r>
      <w:r>
        <w:rPr>
          <w:i/>
          <w:sz w:val="19"/>
        </w:rPr>
        <w:t>https://www.citeo.com/en/client-portal/</w:t>
      </w:r>
    </w:p>
    <w:p>
      <w:pPr>
        <w:ind w:left="283" w:hanging="283"/>
      </w:pPr>
      <w:r>
        <w:rPr>
          <w:b/>
        </w:rPr>
        <w:t xml:space="preserve">32. </w:t>
      </w:r>
      <w:r>
        <w:t xml:space="preserve">TREE by Citeo – recyclability assessment. </w:t>
      </w:r>
      <w:r>
        <w:rPr>
          <w:i/>
          <w:sz w:val="19"/>
        </w:rPr>
        <w:t>https://tree.citeo.com/en/</w:t>
      </w:r>
    </w:p>
    <w:p>
      <w:pPr>
        <w:ind w:left="283" w:hanging="283"/>
      </w:pPr>
      <w:r>
        <w:rPr>
          <w:b/>
        </w:rPr>
        <w:t xml:space="preserve">33. </w:t>
      </w:r>
      <w:r>
        <w:t xml:space="preserve">Valipac – affiliation and declaration 2026. </w:t>
      </w:r>
      <w:r>
        <w:rPr>
          <w:i/>
          <w:sz w:val="19"/>
        </w:rPr>
        <w:t>https://www.valipac.be/en/affiliation-2026/</w:t>
      </w:r>
    </w:p>
    <w:p>
      <w:pPr>
        <w:ind w:left="283" w:hanging="283"/>
      </w:pPr>
      <w:r>
        <w:rPr>
          <w:b/>
        </w:rPr>
        <w:t xml:space="preserve">34. </w:t>
      </w:r>
      <w:r>
        <w:t xml:space="preserve">Valipac Academy – myDeclaration. </w:t>
      </w:r>
      <w:r>
        <w:rPr>
          <w:i/>
          <w:sz w:val="19"/>
        </w:rPr>
        <w:t>https://valipac.academy/en/modules/how-to-complete-your-declaration/how-to-submit-your-declaration/</w:t>
      </w:r>
    </w:p>
    <w:p>
      <w:pPr>
        <w:ind w:left="283" w:hanging="283"/>
      </w:pPr>
      <w:r>
        <w:rPr>
          <w:b/>
        </w:rPr>
        <w:t xml:space="preserve">35. </w:t>
      </w:r>
      <w:r>
        <w:t xml:space="preserve">APCO – ARL / PREP FAQs. </w:t>
      </w:r>
      <w:r>
        <w:rPr>
          <w:i/>
          <w:sz w:val="19"/>
        </w:rPr>
        <w:t>https://apco.org.au/faqs?category=Australasian+Recycling+Label+Program</w:t>
      </w:r>
    </w:p>
    <w:p>
      <w:pPr>
        <w:ind w:left="283" w:hanging="283"/>
      </w:pPr>
      <w:r>
        <w:rPr>
          <w:b/>
        </w:rPr>
        <w:t xml:space="preserve">36. </w:t>
      </w:r>
      <w:r>
        <w:t xml:space="preserve">PREP – home. </w:t>
      </w:r>
      <w:r>
        <w:rPr>
          <w:i/>
          <w:sz w:val="19"/>
        </w:rPr>
        <w:t>https://prep.org.au/</w:t>
      </w:r>
    </w:p>
    <w:p>
      <w:pPr>
        <w:ind w:left="283" w:hanging="283"/>
      </w:pPr>
      <w:r>
        <w:rPr>
          <w:b/>
        </w:rPr>
        <w:t xml:space="preserve">37. </w:t>
      </w:r>
      <w:r>
        <w:t xml:space="preserve">Circular Action Alliance – producer registration. </w:t>
      </w:r>
      <w:r>
        <w:rPr>
          <w:i/>
          <w:sz w:val="19"/>
        </w:rPr>
        <w:t>https://circularactionalliance.org/registration</w:t>
      </w:r>
    </w:p>
    <w:sectPr w:rsidR="00FC693F" w:rsidRPr="0006063C" w:rsidSect="00034616">
      <w:headerReference w:type="default" r:id="rId9"/>
      <w:footerReference w:type="default" r:id="rId10"/>
      <w:pgSz w:w="12240" w:h="15840"/>
      <w:pgMar w:top="1247" w:right="1247" w:bottom="1134" w:left="1361"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Documento de trabajo | abril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Tesis conceptuales | Radar 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w:hAnsi="Aptos" w:eastAsia="Aptos"/>
      <w:b/>
      <w:bCs/>
      <w:color w:val="2125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basedOn w:val="Normal"/>
    <w:pPr>
      <w:spacing w:after="280"/>
    </w:pPr>
    <w:rPr>
      <w:rFonts w:ascii="Aptos" w:hAnsi="Aptos" w:eastAsia="Aptos"/>
      <w:i/>
      <w:color w:val="5A6268"/>
      <w:sz w:val="22"/>
    </w:rPr>
  </w:style>
  <w:style w:type="paragraph" w:customStyle="1" w:styleId="Small">
    <w:name w:val="Small"/>
    <w:basedOn w:val="Normal"/>
    <w:pPr>
      <w:spacing w:after="80"/>
    </w:pPr>
    <w:rPr>
      <w:rFonts w:ascii="Aptos" w:hAnsi="Aptos" w:eastAsia="Aptos"/>
      <w:color w:val="5A62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