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62039">
        <w:rPr>
          <w:rFonts w:ascii="Segoe UI" w:eastAsia="Times New Roman" w:hAnsi="Segoe UI" w:cs="Segoe UI"/>
          <w:b/>
          <w:bCs/>
          <w:color w:val="E6E6E6"/>
          <w:sz w:val="36"/>
          <w:szCs w:val="36"/>
          <w:lang w:eastAsia="es-PE"/>
        </w:rPr>
        <w:t>Cuándo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r w:rsidRPr="00E4667E">
        <w:rPr>
          <w:rFonts w:ascii="Consolas" w:eastAsia="Times New Roman" w:hAnsi="Consolas" w:cs="Courier New"/>
          <w:color w:val="E6E6E6"/>
          <w:sz w:val="20"/>
          <w:szCs w:val="20"/>
          <w:bdr w:val="none" w:sz="0" w:space="0" w:color="auto" w:frame="1"/>
          <w:lang w:eastAsia="es-PE"/>
        </w:rPr>
        <w:t>db.products.find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7BC92FF7">
            <wp:extent cx="3811270" cy="2172335"/>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72335"/>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w:t>
      </w:r>
      <w:r w:rsidRPr="00E4667E">
        <w:rPr>
          <w:rFonts w:ascii="Segoe UI" w:eastAsia="Times New Roman" w:hAnsi="Segoe UI" w:cs="Segoe UI"/>
          <w:color w:val="E6E6E6"/>
          <w:sz w:val="24"/>
          <w:szCs w:val="24"/>
          <w:lang w:eastAsia="es-PE"/>
        </w:rPr>
        <w:lastRenderedPageBreak/>
        <w:t>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r w:rsidRPr="00E4667E">
        <w:rPr>
          <w:rFonts w:ascii="Consolas" w:eastAsia="Times New Roman" w:hAnsi="Consolas" w:cs="Courier New"/>
          <w:color w:val="0070C0"/>
          <w:sz w:val="20"/>
          <w:szCs w:val="20"/>
          <w:bdr w:val="none" w:sz="0" w:space="0" w:color="auto" w:frame="1"/>
          <w:lang w:val="en-US" w:eastAsia="es-PE"/>
        </w:rPr>
        <w:t>g.addV</w:t>
      </w:r>
      <w:proofErr w:type="spell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7256DC5C" w14:textId="77777777" w:rsidR="00B019A4" w:rsidRPr="00B019A4" w:rsidRDefault="00B019A4" w:rsidP="00B019A4">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019A4">
        <w:rPr>
          <w:rFonts w:ascii="Segoe UI" w:eastAsia="Times New Roman" w:hAnsi="Segoe UI" w:cs="Segoe UI"/>
          <w:b/>
          <w:bCs/>
          <w:color w:val="E6E6E6"/>
          <w:sz w:val="36"/>
          <w:szCs w:val="36"/>
          <w:lang w:eastAsia="es-PE"/>
        </w:rPr>
        <w:t>Objetivos de aprendizaje</w:t>
      </w:r>
    </w:p>
    <w:p w14:paraId="0950A4D8" w14:textId="77777777" w:rsidR="00B019A4" w:rsidRPr="00B019A4" w:rsidRDefault="00B019A4" w:rsidP="00B019A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En este módulo aprenderá a:</w:t>
      </w:r>
    </w:p>
    <w:p w14:paraId="75D0A9D6"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Blob Storage</w:t>
      </w:r>
    </w:p>
    <w:p w14:paraId="61107FD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Data Lake Gen2</w:t>
      </w:r>
    </w:p>
    <w:p w14:paraId="51060458"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File Storage</w:t>
      </w:r>
    </w:p>
    <w:p w14:paraId="6EE1939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Table Storage</w:t>
      </w:r>
    </w:p>
    <w:p w14:paraId="5EE8BA3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Aprovisionamiento y uso de una cuenta de Azure Storage</w:t>
      </w:r>
    </w:p>
    <w:p w14:paraId="1804DD62" w14:textId="0DADC52F" w:rsidR="004B184F" w:rsidRPr="00B019A4" w:rsidRDefault="004B184F"/>
    <w:p w14:paraId="5E72419D" w14:textId="604BFDF3" w:rsidR="004B184F" w:rsidRPr="00B019A4" w:rsidRDefault="004B184F"/>
    <w:p w14:paraId="5E5A2BEA" w14:textId="4453ABA4" w:rsidR="004B184F" w:rsidRPr="00B019A4" w:rsidRDefault="004B184F"/>
    <w:p w14:paraId="58EC812D" w14:textId="042489F2" w:rsidR="004B184F" w:rsidRPr="00B019A4" w:rsidRDefault="004B184F"/>
    <w:p w14:paraId="08CCC04A" w14:textId="31F99347" w:rsidR="004B184F" w:rsidRPr="00B019A4" w:rsidRDefault="004B184F"/>
    <w:p w14:paraId="4E93CDB4" w14:textId="1747541A" w:rsidR="004B184F" w:rsidRPr="00B019A4" w:rsidRDefault="004B184F"/>
    <w:p w14:paraId="26721787" w14:textId="01FD64B9" w:rsidR="004B184F" w:rsidRPr="00B019A4" w:rsidRDefault="004B184F"/>
    <w:p w14:paraId="710DB60A" w14:textId="360D9D9D" w:rsidR="004B184F" w:rsidRPr="00B019A4" w:rsidRDefault="004B184F"/>
    <w:p w14:paraId="5CB1BCAB" w14:textId="77777777" w:rsidR="00F46E4D" w:rsidRPr="00F46E4D" w:rsidRDefault="00F46E4D" w:rsidP="00F46E4D">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F46E4D">
        <w:rPr>
          <w:rFonts w:ascii="Segoe UI" w:eastAsia="Times New Roman" w:hAnsi="Segoe UI" w:cs="Segoe UI"/>
          <w:b/>
          <w:bCs/>
          <w:color w:val="E6E6E6"/>
          <w:kern w:val="36"/>
          <w:sz w:val="48"/>
          <w:szCs w:val="48"/>
          <w:lang w:eastAsia="es-PE"/>
        </w:rPr>
        <w:lastRenderedPageBreak/>
        <w:t>Exploración de Azure Blob Storage</w:t>
      </w:r>
    </w:p>
    <w:p w14:paraId="299FCE0E" w14:textId="77777777" w:rsidR="00F46E4D" w:rsidRPr="00F46E4D" w:rsidRDefault="00F46E4D" w:rsidP="00F46E4D">
      <w:pPr>
        <w:shd w:val="clear" w:color="auto" w:fill="171717"/>
        <w:spacing w:after="0" w:line="240" w:lineRule="auto"/>
        <w:rPr>
          <w:rFonts w:ascii="Segoe UI" w:eastAsia="Times New Roman" w:hAnsi="Segoe UI" w:cs="Segoe UI"/>
          <w:color w:val="E6E6E6"/>
          <w:sz w:val="24"/>
          <w:szCs w:val="24"/>
          <w:lang w:eastAsia="es-PE"/>
        </w:rPr>
      </w:pPr>
      <w:r w:rsidRPr="00F46E4D">
        <w:rPr>
          <w:rFonts w:ascii="docons" w:eastAsia="Times New Roman" w:hAnsi="docons" w:cs="Segoe UI"/>
          <w:color w:val="E6E6E6"/>
          <w:sz w:val="14"/>
          <w:szCs w:val="14"/>
          <w:bdr w:val="none" w:sz="0" w:space="0" w:color="auto" w:frame="1"/>
          <w:lang w:eastAsia="es-PE"/>
        </w:rPr>
        <w:t>Completado</w:t>
      </w:r>
      <w:r w:rsidRPr="00F46E4D">
        <w:rPr>
          <w:rFonts w:ascii="Segoe UI" w:eastAsia="Times New Roman" w:hAnsi="Segoe UI" w:cs="Segoe UI"/>
          <w:color w:val="E6E6E6"/>
          <w:sz w:val="18"/>
          <w:szCs w:val="18"/>
          <w:lang w:eastAsia="es-PE"/>
        </w:rPr>
        <w:t>100 XP</w:t>
      </w:r>
    </w:p>
    <w:p w14:paraId="72B0B212" w14:textId="77777777" w:rsidR="00F46E4D" w:rsidRPr="00F46E4D" w:rsidRDefault="00F46E4D" w:rsidP="00F46E4D">
      <w:pPr>
        <w:numPr>
          <w:ilvl w:val="0"/>
          <w:numId w:val="11"/>
        </w:numPr>
        <w:shd w:val="clear" w:color="auto" w:fill="171717"/>
        <w:spacing w:after="0" w:line="240" w:lineRule="auto"/>
        <w:rPr>
          <w:rFonts w:ascii="Segoe UI" w:eastAsia="Times New Roman" w:hAnsi="Segoe UI" w:cs="Segoe UI"/>
          <w:sz w:val="24"/>
          <w:szCs w:val="24"/>
          <w:lang w:eastAsia="es-PE"/>
        </w:rPr>
      </w:pPr>
      <w:r w:rsidRPr="00F46E4D">
        <w:rPr>
          <w:rFonts w:ascii="Segoe UI" w:eastAsia="Times New Roman" w:hAnsi="Segoe UI" w:cs="Segoe UI"/>
          <w:sz w:val="24"/>
          <w:szCs w:val="24"/>
          <w:lang w:eastAsia="es-PE"/>
        </w:rPr>
        <w:t>4 minutos</w:t>
      </w:r>
    </w:p>
    <w:p w14:paraId="7FAC4536"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es un servicio que le permite almacenar grandes cantidades de datos no estructurados como objetos binarios grandes, o </w:t>
      </w:r>
      <w:r w:rsidRPr="00F46E4D">
        <w:rPr>
          <w:rFonts w:ascii="Segoe UI" w:eastAsia="Times New Roman" w:hAnsi="Segoe UI" w:cs="Segoe UI"/>
          <w:i/>
          <w:iCs/>
          <w:color w:val="E6E6E6"/>
          <w:sz w:val="24"/>
          <w:szCs w:val="24"/>
          <w:lang w:eastAsia="es-PE"/>
        </w:rPr>
        <w:t>blobs</w:t>
      </w:r>
      <w:r w:rsidRPr="00F46E4D">
        <w:rPr>
          <w:rFonts w:ascii="Segoe UI" w:eastAsia="Times New Roman" w:hAnsi="Segoe UI" w:cs="Segoe UI"/>
          <w:color w:val="E6E6E6"/>
          <w:sz w:val="24"/>
          <w:szCs w:val="24"/>
          <w:lang w:eastAsia="es-PE"/>
        </w:rPr>
        <w:t>, en la nube. Los blobs son una manera eficaz de almacenar archivos de datos en un formato optimizado para el almacenamiento basado en la nube, y las aplicaciones pueden leerlos y escribirlos mediante la API de Azure Blob Storage.</w:t>
      </w:r>
    </w:p>
    <w:p w14:paraId="0EE81F62" w14:textId="58A31482"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noProof/>
          <w:color w:val="E6E6E6"/>
          <w:sz w:val="24"/>
          <w:szCs w:val="24"/>
          <w:lang w:eastAsia="es-PE"/>
        </w:rPr>
        <w:drawing>
          <wp:inline distT="0" distB="0" distL="0" distR="0" wp14:anchorId="6E556287" wp14:editId="07C62C6D">
            <wp:extent cx="2860040" cy="1645920"/>
            <wp:effectExtent l="0" t="0" r="0" b="0"/>
            <wp:docPr id="3" name="Imagen 3"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blob storage container with two blo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645920"/>
                    </a:xfrm>
                    <a:prstGeom prst="rect">
                      <a:avLst/>
                    </a:prstGeom>
                    <a:noFill/>
                    <a:ln>
                      <a:noFill/>
                    </a:ln>
                  </pic:spPr>
                </pic:pic>
              </a:graphicData>
            </a:graphic>
          </wp:inline>
        </w:drawing>
      </w:r>
    </w:p>
    <w:p w14:paraId="7A08A254"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En una cuenta de Azure Storage, los blobs se almacenan en </w:t>
      </w:r>
      <w:r w:rsidRPr="00F46E4D">
        <w:rPr>
          <w:rFonts w:ascii="Segoe UI" w:eastAsia="Times New Roman" w:hAnsi="Segoe UI" w:cs="Segoe UI"/>
          <w:i/>
          <w:iCs/>
          <w:color w:val="E6E6E6"/>
          <w:sz w:val="24"/>
          <w:szCs w:val="24"/>
          <w:lang w:eastAsia="es-PE"/>
        </w:rPr>
        <w:t>contenedores</w:t>
      </w:r>
      <w:r w:rsidRPr="00F46E4D">
        <w:rPr>
          <w:rFonts w:ascii="Segoe UI" w:eastAsia="Times New Roman" w:hAnsi="Segoe UI" w:cs="Segoe UI"/>
          <w:color w:val="E6E6E6"/>
          <w:sz w:val="24"/>
          <w:szCs w:val="24"/>
          <w:lang w:eastAsia="es-PE"/>
        </w:rPr>
        <w:t>. Un contenedor proporciona una manera cómoda de agrupar blobs relacionados. Puede controlar quién puede leer y escribir blobs dentro de un contenedor en el nivel de contenedor.</w:t>
      </w:r>
    </w:p>
    <w:p w14:paraId="38486568"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Dentro de un contenedor, puede organizar los blobs en una jerarquía de carpetas virtuales, similares a los archivos de un sistema de archivos en un disco. Sin embargo, de manera predeterminada, estas carpetas no son más que una forma de utilizar un carácter "/" en el nombre de un blob para organizar los blobs en espacios de nombres. Las carpetas son puramente virtuales y no es posible hacer operaciones de nivel de carpeta para controlar el acceso ni hacer operaciones masivas.</w:t>
      </w:r>
    </w:p>
    <w:p w14:paraId="4C67080B"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admite tres tipos de blobs diferentes:</w:t>
      </w:r>
    </w:p>
    <w:p w14:paraId="27AC6FDB" w14:textId="77777777" w:rsidR="00F46E4D" w:rsidRPr="00F46E4D" w:rsidRDefault="00F46E4D" w:rsidP="00F46E4D">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bloques</w:t>
      </w:r>
      <w:r w:rsidRPr="00F46E4D">
        <w:rPr>
          <w:rFonts w:ascii="Segoe UI" w:eastAsia="Times New Roman" w:hAnsi="Segoe UI" w:cs="Segoe UI"/>
          <w:color w:val="E6E6E6"/>
          <w:sz w:val="24"/>
          <w:szCs w:val="24"/>
          <w:lang w:eastAsia="es-PE"/>
        </w:rPr>
        <w:t>. Un blob en bloques se trata como un conjunto de bloques. Cada bloque puede tener un tamaño distinto, de hasta 100 MB. Un blob en bloques puede contener hasta 50 000 bloques, con un tamaño máximo de más de 4,7 TB. El bloque es la cantidad más pequeña de datos que se puede leer o escribir como una unidad individual. Los blobs en bloques se recomiendan especialmente para almacenar objetos binarios grandes discretos que cambian con poca frecuencia.</w:t>
      </w:r>
    </w:p>
    <w:p w14:paraId="1D4BE094" w14:textId="77777777" w:rsidR="00F46E4D" w:rsidRPr="00F46E4D" w:rsidRDefault="00F46E4D" w:rsidP="00F46E4D">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lastRenderedPageBreak/>
        <w:t>Blobs en páginas</w:t>
      </w:r>
      <w:r w:rsidRPr="00F46E4D">
        <w:rPr>
          <w:rFonts w:ascii="Segoe UI" w:eastAsia="Times New Roman" w:hAnsi="Segoe UI" w:cs="Segoe UI"/>
          <w:color w:val="E6E6E6"/>
          <w:sz w:val="24"/>
          <w:szCs w:val="24"/>
          <w:lang w:eastAsia="es-PE"/>
        </w:rPr>
        <w:t>. Un blob en páginas se organiza como una colección de páginas de tamaño fijo de 512 bytes. Un blob en páginas está optimizado para admitir operaciones de lectura y escritura aleatorias; puede capturar y almacenar datos para una sola página si es necesario. Un blob en páginas puede contener hasta 8 TB de datos. Azure usa blobs en páginas para implementar el almacenamiento de discos virtuales de las máquinas virtuales.</w:t>
      </w:r>
    </w:p>
    <w:p w14:paraId="02F35434" w14:textId="77777777" w:rsidR="00F46E4D" w:rsidRPr="00F46E4D" w:rsidRDefault="00F46E4D" w:rsidP="00F46E4D">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anexos</w:t>
      </w:r>
      <w:r w:rsidRPr="00F46E4D">
        <w:rPr>
          <w:rFonts w:ascii="Segoe UI" w:eastAsia="Times New Roman" w:hAnsi="Segoe UI" w:cs="Segoe UI"/>
          <w:color w:val="E6E6E6"/>
          <w:sz w:val="24"/>
          <w:szCs w:val="24"/>
          <w:lang w:eastAsia="es-PE"/>
        </w:rPr>
        <w:t>. Un blob en anexos es un blob en bloques optimizado para admitir operaciones de anexión. Solo puede agregar bloques al final de un blob en anexos; no se admite la actualización o eliminación de bloques existentes. Cada bloque puede tener un tamaño distinto, de hasta 4 MB. El tamaño máximo de un blob en anexos es de algo más de 195 GB.</w:t>
      </w:r>
    </w:p>
    <w:p w14:paraId="4BF1F87A"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almacenamiento de blobs proporciona tres niveles de acceso, que ayudan a equilibrar la latencia de acceso y el costo de almacenamiento:</w:t>
      </w:r>
    </w:p>
    <w:p w14:paraId="1CD632E5" w14:textId="77777777" w:rsidR="00F46E4D" w:rsidRPr="00F46E4D" w:rsidRDefault="00F46E4D" w:rsidP="00F46E4D">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de </w:t>
      </w:r>
      <w:r w:rsidRPr="00F46E4D">
        <w:rPr>
          <w:rFonts w:ascii="Segoe UI" w:eastAsia="Times New Roman" w:hAnsi="Segoe UI" w:cs="Segoe UI"/>
          <w:i/>
          <w:iCs/>
          <w:color w:val="E6E6E6"/>
          <w:sz w:val="24"/>
          <w:szCs w:val="24"/>
          <w:lang w:eastAsia="es-PE"/>
        </w:rPr>
        <w:t>acceso frecuente</w:t>
      </w:r>
      <w:r w:rsidRPr="00F46E4D">
        <w:rPr>
          <w:rFonts w:ascii="Segoe UI" w:eastAsia="Times New Roman" w:hAnsi="Segoe UI" w:cs="Segoe UI"/>
          <w:color w:val="E6E6E6"/>
          <w:sz w:val="24"/>
          <w:szCs w:val="24"/>
          <w:lang w:eastAsia="es-PE"/>
        </w:rPr>
        <w:t> es el predeterminado. Este nivel se usa para los blobs a los que se accede con frecuencia. Los datos de blob se almacenan en medios de alto rendimiento.</w:t>
      </w:r>
    </w:p>
    <w:p w14:paraId="606B4C1D" w14:textId="77777777" w:rsidR="00F46E4D" w:rsidRPr="00F46E4D" w:rsidRDefault="00F46E4D" w:rsidP="00F46E4D">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Esporádico</w:t>
      </w:r>
      <w:r w:rsidRPr="00F46E4D">
        <w:rPr>
          <w:rFonts w:ascii="Segoe UI" w:eastAsia="Times New Roman" w:hAnsi="Segoe UI" w:cs="Segoe UI"/>
          <w:color w:val="E6E6E6"/>
          <w:sz w:val="24"/>
          <w:szCs w:val="24"/>
          <w:lang w:eastAsia="es-PE"/>
        </w:rPr>
        <w:t> tiene un rendimiento inferior e incurre en cargos de almacenamiento reducidos en comparación con el nivel Frecuente. Use el nivel de acceso esporádico para los datos a los que se accede con poca frecuencia. Es habitual que el acceso a los blobs recién creados sea más frecuente al principio y menos frecuente a medida que pasa el tiempo. En estas situaciones, puede crear el blob en el nivel de acceso frecuente, pero migrarlo al nivel de acceso esporádico más adelante. Puede migrar un blob del nivel de acceso esporádico al frecuente.</w:t>
      </w:r>
    </w:p>
    <w:p w14:paraId="0F53D4F9" w14:textId="77777777" w:rsidR="00F46E4D" w:rsidRPr="00F46E4D" w:rsidRDefault="00F46E4D" w:rsidP="00F46E4D">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Archivo</w:t>
      </w:r>
      <w:r w:rsidRPr="00F46E4D">
        <w:rPr>
          <w:rFonts w:ascii="Segoe UI" w:eastAsia="Times New Roman" w:hAnsi="Segoe UI" w:cs="Segoe UI"/>
          <w:color w:val="E6E6E6"/>
          <w:sz w:val="24"/>
          <w:szCs w:val="24"/>
          <w:lang w:eastAsia="es-PE"/>
        </w:rPr>
        <w:t> proporciona el menor costo de almacenamiento, pero una mayor latencia. El nivel de acceso de archivo está pensado para los datos históricos que no deben perderse, pero que raramente se necesitan. Los blobs del nivel de acceso de archivo se almacenan de forma eficaz en un estado sin conexión. La latencia de lectura típica para los niveles de acceso frecuente y esporádico es de unos milisegundos, pero para el nivel de acceso de archivo los datos pueden tardar horas en estar disponibles. Para recuperar un blob desde el nivel de acceso de archivo, debe cambiar el nivel de acceso a acceso frecuente o esporádico. Con ello, el blob se rehidratará. Solo puede leer el blob una vez que se ha completado el proceso de rehidratación.</w:t>
      </w:r>
    </w:p>
    <w:p w14:paraId="1E1DFF2B"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 xml:space="preserve">Puede crear directivas de administración del ciclo de vida para los blobs de una cuenta de almacenamiento. Una directiva de administración del ciclo de vida </w:t>
      </w:r>
      <w:r w:rsidRPr="00F46E4D">
        <w:rPr>
          <w:rFonts w:ascii="Segoe UI" w:eastAsia="Times New Roman" w:hAnsi="Segoe UI" w:cs="Segoe UI"/>
          <w:color w:val="E6E6E6"/>
          <w:sz w:val="24"/>
          <w:szCs w:val="24"/>
          <w:lang w:eastAsia="es-PE"/>
        </w:rPr>
        <w:lastRenderedPageBreak/>
        <w:t>puede trasladar automáticamente un blob de acceso frecuente a acceso esporádico y, a continuación, al nivel de acceso de archivo, a medida que pasa el tiempo y se usa con menos frecuencia (la directiva se basa en el número de días transcurridos desde la última modificación). Una directiva de administración del ciclo de vida también puede organizarse para eliminar blobs obsoletos.</w:t>
      </w:r>
    </w:p>
    <w:p w14:paraId="436463E1" w14:textId="7D589264" w:rsidR="004B184F" w:rsidRPr="00B019A4" w:rsidRDefault="004B184F"/>
    <w:p w14:paraId="49F4F67F" w14:textId="55A13CD4" w:rsidR="004B184F" w:rsidRPr="00B019A4" w:rsidRDefault="004B184F"/>
    <w:p w14:paraId="25A770ED" w14:textId="23A3FAC2" w:rsidR="004B184F" w:rsidRPr="00B019A4" w:rsidRDefault="004B184F"/>
    <w:p w14:paraId="64D7A2F7" w14:textId="3F93CA4D" w:rsidR="004B184F" w:rsidRPr="00B019A4" w:rsidRDefault="004B184F"/>
    <w:p w14:paraId="23C4CD62" w14:textId="5007E12C" w:rsidR="004B184F" w:rsidRPr="00B019A4" w:rsidRDefault="004B184F"/>
    <w:p w14:paraId="59563424" w14:textId="5B1B3D24" w:rsidR="004B184F" w:rsidRPr="00B019A4" w:rsidRDefault="004B184F"/>
    <w:p w14:paraId="3F0575C7" w14:textId="4F843C1E" w:rsidR="004B184F" w:rsidRPr="00B019A4" w:rsidRDefault="004B184F"/>
    <w:p w14:paraId="1F032929" w14:textId="574ED0B3" w:rsidR="004B184F" w:rsidRPr="00B019A4" w:rsidRDefault="004B184F"/>
    <w:p w14:paraId="05A955D2" w14:textId="4C4E1741" w:rsidR="004B184F" w:rsidRPr="00B019A4" w:rsidRDefault="004B184F"/>
    <w:p w14:paraId="6ADEFAC4" w14:textId="07472F76" w:rsidR="004B184F" w:rsidRPr="00B019A4" w:rsidRDefault="004B184F"/>
    <w:p w14:paraId="50F477E4" w14:textId="4DA83E3E" w:rsidR="004B184F" w:rsidRPr="00B019A4" w:rsidRDefault="004B184F"/>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proofErr w:type="spellStart"/>
      <w:r w:rsidRPr="004B184F">
        <w:rPr>
          <w:rFonts w:ascii="Segoe UI" w:eastAsia="Times New Roman" w:hAnsi="Segoe UI" w:cs="Segoe UI"/>
          <w:i/>
          <w:iCs/>
          <w:color w:val="E6E6E6"/>
          <w:sz w:val="24"/>
          <w:szCs w:val="24"/>
          <w:lang w:eastAsia="es-PE"/>
        </w:rPr>
        <w:t>Concierge</w:t>
      </w:r>
      <w:proofErr w:type="spellEnd"/>
      <w:r w:rsidRPr="004B184F">
        <w:rPr>
          <w:rFonts w:ascii="Segoe UI" w:eastAsia="Times New Roman" w:hAnsi="Segoe UI" w:cs="Segoe UI"/>
          <w:i/>
          <w:iCs/>
          <w:color w:val="E6E6E6"/>
          <w:sz w:val="24"/>
          <w:szCs w:val="24"/>
          <w:lang w:eastAsia="es-PE"/>
        </w:rPr>
        <w:t xml:space="preserve"> </w:t>
      </w:r>
      <w:proofErr w:type="spellStart"/>
      <w:r w:rsidRPr="004B184F">
        <w:rPr>
          <w:rFonts w:ascii="Segoe UI" w:eastAsia="Times New Roman" w:hAnsi="Segoe UI" w:cs="Segoe UI"/>
          <w:i/>
          <w:iCs/>
          <w:color w:val="E6E6E6"/>
          <w:sz w:val="24"/>
          <w:szCs w:val="24"/>
          <w:lang w:eastAsia="es-PE"/>
        </w:rPr>
        <w:t>Subscription</w:t>
      </w:r>
      <w:proofErr w:type="spellEnd"/>
      <w:r w:rsidRPr="004B184F">
        <w:rPr>
          <w:rFonts w:ascii="Segoe UI" w:eastAsia="Times New Roman" w:hAnsi="Segoe UI" w:cs="Segoe UI"/>
          <w:color w:val="E6E6E6"/>
          <w:sz w:val="24"/>
          <w:szCs w:val="24"/>
          <w:lang w:eastAsia="es-PE"/>
        </w:rPr>
        <w:t xml:space="preserve"> (Suscripción de </w:t>
      </w:r>
      <w:proofErr w:type="spellStart"/>
      <w:r w:rsidRPr="004B184F">
        <w:rPr>
          <w:rFonts w:ascii="Segoe UI" w:eastAsia="Times New Roman" w:hAnsi="Segoe UI" w:cs="Segoe UI"/>
          <w:color w:val="E6E6E6"/>
          <w:sz w:val="24"/>
          <w:szCs w:val="24"/>
          <w:lang w:eastAsia="es-PE"/>
        </w:rPr>
        <w:t>Concierge</w:t>
      </w:r>
      <w:proofErr w:type="spellEnd"/>
      <w:r w:rsidRPr="004B184F">
        <w:rPr>
          <w:rFonts w:ascii="Segoe UI" w:eastAsia="Times New Roman" w:hAnsi="Segoe UI" w:cs="Segoe UI"/>
          <w:color w:val="E6E6E6"/>
          <w:sz w:val="24"/>
          <w:szCs w:val="24"/>
          <w:lang w:eastAsia="es-PE"/>
        </w:rPr>
        <w:t>).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proofErr w:type="spellStart"/>
      <w:r w:rsidRPr="004B184F">
        <w:rPr>
          <w:rFonts w:ascii="Segoe UI" w:eastAsia="Times New Roman" w:hAnsi="Segoe UI" w:cs="Segoe UI"/>
          <w:i/>
          <w:iCs/>
          <w:color w:val="E6E6E6"/>
          <w:sz w:val="24"/>
          <w:szCs w:val="24"/>
          <w:lang w:eastAsia="es-PE"/>
        </w:rPr>
        <w:t>learn-xxxx</w:t>
      </w:r>
      <w:proofErr w:type="spellEnd"/>
      <w:r w:rsidRPr="004B184F">
        <w:rPr>
          <w:rFonts w:ascii="Segoe UI" w:eastAsia="Times New Roman" w:hAnsi="Segoe UI" w:cs="Segoe UI"/>
          <w:i/>
          <w:iCs/>
          <w:color w:val="E6E6E6"/>
          <w:sz w:val="24"/>
          <w:szCs w:val="24"/>
          <w:lang w:eastAsia="es-PE"/>
        </w:rPr>
        <w:t>…</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lastRenderedPageBreak/>
        <w:t>Capacity</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mode</w:t>
      </w:r>
      <w:proofErr w:type="spellEnd"/>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Apply</w:t>
      </w:r>
      <w:proofErr w:type="spellEnd"/>
      <w:r w:rsidRPr="004B184F">
        <w:rPr>
          <w:rFonts w:ascii="Segoe UI" w:eastAsia="Times New Roman" w:hAnsi="Segoe UI" w:cs="Segoe UI"/>
          <w:b/>
          <w:bCs/>
          <w:color w:val="E6E6E6"/>
          <w:sz w:val="24"/>
          <w:szCs w:val="24"/>
          <w:lang w:eastAsia="es-PE"/>
        </w:rPr>
        <w:t xml:space="preserve"> Free-</w:t>
      </w:r>
      <w:proofErr w:type="spellStart"/>
      <w:r w:rsidRPr="004B184F">
        <w:rPr>
          <w:rFonts w:ascii="Segoe UI" w:eastAsia="Times New Roman" w:hAnsi="Segoe UI" w:cs="Segoe UI"/>
          <w:b/>
          <w:bCs/>
          <w:color w:val="E6E6E6"/>
          <w:sz w:val="24"/>
          <w:szCs w:val="24"/>
          <w:lang w:eastAsia="es-PE"/>
        </w:rPr>
        <w:t>Tier</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Discount</w:t>
      </w:r>
      <w:proofErr w:type="spellEnd"/>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Limit</w:t>
      </w:r>
      <w:proofErr w:type="spellEnd"/>
      <w:r w:rsidRPr="004B184F">
        <w:rPr>
          <w:rFonts w:ascii="Segoe UI" w:eastAsia="Times New Roman" w:hAnsi="Segoe UI" w:cs="Segoe UI"/>
          <w:b/>
          <w:bCs/>
          <w:color w:val="E6E6E6"/>
          <w:sz w:val="24"/>
          <w:szCs w:val="24"/>
          <w:lang w:eastAsia="es-PE"/>
        </w:rPr>
        <w:t xml:space="preserve"> total </w:t>
      </w:r>
      <w:proofErr w:type="spellStart"/>
      <w:r w:rsidRPr="004B184F">
        <w:rPr>
          <w:rFonts w:ascii="Segoe UI" w:eastAsia="Times New Roman" w:hAnsi="Segoe UI" w:cs="Segoe UI"/>
          <w:b/>
          <w:bCs/>
          <w:color w:val="E6E6E6"/>
          <w:sz w:val="24"/>
          <w:szCs w:val="24"/>
          <w:lang w:eastAsia="es-PE"/>
        </w:rPr>
        <w:t>account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throughput</w:t>
      </w:r>
      <w:proofErr w:type="spellEnd"/>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proofErr w:type="spellStart"/>
      <w:r w:rsidRPr="004B184F">
        <w:rPr>
          <w:rFonts w:ascii="Segoe UI" w:eastAsia="Times New Roman" w:hAnsi="Segoe UI" w:cs="Segoe UI"/>
          <w:b/>
          <w:bCs/>
          <w:color w:val="E6E6E6"/>
          <w:sz w:val="24"/>
          <w:szCs w:val="24"/>
          <w:lang w:eastAsia="es-PE"/>
        </w:rPr>
        <w:t>Start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with</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Sample</w:t>
      </w:r>
      <w:proofErr w:type="spellEnd"/>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Explorador de datos, expanda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JSONCopiar</w:t>
      </w:r>
      <w:proofErr w:type="spellEnd"/>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w:t>
      </w:r>
      <w:proofErr w:type="spellStart"/>
      <w:r w:rsidRPr="004B184F">
        <w:rPr>
          <w:rFonts w:ascii="Consolas" w:eastAsia="Times New Roman" w:hAnsi="Consolas" w:cs="Courier New"/>
          <w:color w:val="9CDCFE"/>
          <w:sz w:val="20"/>
          <w:szCs w:val="20"/>
          <w:bdr w:val="none" w:sz="0" w:space="0" w:color="auto" w:frame="1"/>
          <w:lang w:val="en-US" w:eastAsia="es-PE"/>
        </w:rPr>
        <w:t>firstname</w:t>
      </w:r>
      <w:proofErr w:type="spellEnd"/>
      <w:r w:rsidRPr="004B184F">
        <w:rPr>
          <w:rFonts w:ascii="Consolas" w:eastAsia="Times New Roman" w:hAnsi="Consolas" w:cs="Courier New"/>
          <w:color w:val="9CDCFE"/>
          <w:sz w:val="20"/>
          <w:szCs w:val="20"/>
          <w:bdr w:val="none" w:sz="0" w:space="0" w:color="auto" w:frame="1"/>
          <w:lang w:val="en-US" w:eastAsia="es-PE"/>
        </w:rPr>
        <w:t>"</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lastRenderedPageBreak/>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SQLCopiar</w:t>
      </w:r>
      <w:proofErr w:type="spellEnd"/>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spellStart"/>
      <w:r w:rsidRPr="004B184F">
        <w:rPr>
          <w:rFonts w:ascii="Consolas" w:eastAsia="Times New Roman" w:hAnsi="Consolas" w:cs="Courier New"/>
          <w:color w:val="E6E6E6"/>
          <w:sz w:val="20"/>
          <w:szCs w:val="20"/>
          <w:bdr w:val="none" w:sz="0" w:space="0" w:color="auto" w:frame="1"/>
          <w:lang w:val="en-US" w:eastAsia="es-PE"/>
        </w:rPr>
        <w:t>c.firstname</w:t>
      </w:r>
      <w:proofErr w:type="spellEnd"/>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r w:rsidRPr="004B184F">
        <w:rPr>
          <w:rFonts w:ascii="Consolas" w:eastAsia="Times New Roman" w:hAnsi="Consolas" w:cs="Courier New"/>
          <w:color w:val="E6E6E6"/>
          <w:sz w:val="20"/>
          <w:szCs w:val="20"/>
          <w:bdr w:val="none" w:sz="0" w:space="0" w:color="auto" w:frame="1"/>
          <w:lang w:val="en-US" w:eastAsia="es-PE"/>
        </w:rPr>
        <w:t xml:space="preserv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Ha visto cómo crear y consultar entidades JSON en una base de datos de Cosmos DB mediante la interfaz del explorador de datos de Azure Portal. En un escenario real, un desarrollador de aplicaciones utilizará uno de los muchos kits de desarrollo de software (SDK) específicos del lenguaje de programación para llamar a la API de núcleo (SQL) y trabajar con datos en la base de datos.</w:t>
      </w:r>
    </w:p>
    <w:p w14:paraId="4A68B740" w14:textId="77777777" w:rsidR="004B184F" w:rsidRPr="004B184F" w:rsidRDefault="004B184F"/>
    <w:sectPr w:rsidR="004B184F"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B7250CF"/>
    <w:multiLevelType w:val="multilevel"/>
    <w:tmpl w:val="C354E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61FC1"/>
    <w:multiLevelType w:val="multilevel"/>
    <w:tmpl w:val="C4E61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44E86"/>
    <w:multiLevelType w:val="multilevel"/>
    <w:tmpl w:val="529E0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E569F"/>
    <w:multiLevelType w:val="multilevel"/>
    <w:tmpl w:val="8F7CE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2"/>
  </w:num>
  <w:num w:numId="2" w16cid:durableId="1329014175">
    <w:abstractNumId w:val="8"/>
  </w:num>
  <w:num w:numId="3" w16cid:durableId="1559900574">
    <w:abstractNumId w:val="10"/>
  </w:num>
  <w:num w:numId="4" w16cid:durableId="182329002">
    <w:abstractNumId w:val="1"/>
  </w:num>
  <w:num w:numId="5" w16cid:durableId="312610517">
    <w:abstractNumId w:val="0"/>
  </w:num>
  <w:num w:numId="6" w16cid:durableId="1085617293">
    <w:abstractNumId w:val="3"/>
  </w:num>
  <w:num w:numId="7" w16cid:durableId="1311252700">
    <w:abstractNumId w:val="5"/>
  </w:num>
  <w:num w:numId="8" w16cid:durableId="1566140034">
    <w:abstractNumId w:val="6"/>
  </w:num>
  <w:num w:numId="9" w16cid:durableId="1271736876">
    <w:abstractNumId w:val="4"/>
  </w:num>
  <w:num w:numId="10" w16cid:durableId="820469146">
    <w:abstractNumId w:val="12"/>
  </w:num>
  <w:num w:numId="11" w16cid:durableId="1137340581">
    <w:abstractNumId w:val="11"/>
  </w:num>
  <w:num w:numId="12" w16cid:durableId="1061757164">
    <w:abstractNumId w:val="9"/>
  </w:num>
  <w:num w:numId="13" w16cid:durableId="1184368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B4F8B"/>
    <w:rsid w:val="003819A0"/>
    <w:rsid w:val="004B184F"/>
    <w:rsid w:val="0075182D"/>
    <w:rsid w:val="00AE5D58"/>
    <w:rsid w:val="00B019A4"/>
    <w:rsid w:val="00B62039"/>
    <w:rsid w:val="00E4667E"/>
    <w:rsid w:val="00F46E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142431563">
      <w:bodyDiv w:val="1"/>
      <w:marLeft w:val="0"/>
      <w:marRight w:val="0"/>
      <w:marTop w:val="0"/>
      <w:marBottom w:val="0"/>
      <w:divBdr>
        <w:top w:val="none" w:sz="0" w:space="0" w:color="auto"/>
        <w:left w:val="none" w:sz="0" w:space="0" w:color="auto"/>
        <w:bottom w:val="none" w:sz="0" w:space="0" w:color="auto"/>
        <w:right w:val="none" w:sz="0" w:space="0" w:color="auto"/>
      </w:divBdr>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 w:id="1595551946">
      <w:bodyDiv w:val="1"/>
      <w:marLeft w:val="0"/>
      <w:marRight w:val="0"/>
      <w:marTop w:val="0"/>
      <w:marBottom w:val="0"/>
      <w:divBdr>
        <w:top w:val="none" w:sz="0" w:space="0" w:color="auto"/>
        <w:left w:val="none" w:sz="0" w:space="0" w:color="auto"/>
        <w:bottom w:val="none" w:sz="0" w:space="0" w:color="auto"/>
        <w:right w:val="none" w:sz="0" w:space="0" w:color="auto"/>
      </w:divBdr>
      <w:divsChild>
        <w:div w:id="1230649327">
          <w:marLeft w:val="0"/>
          <w:marRight w:val="0"/>
          <w:marTop w:val="0"/>
          <w:marBottom w:val="0"/>
          <w:divBdr>
            <w:top w:val="none" w:sz="0" w:space="0" w:color="auto"/>
            <w:left w:val="none" w:sz="0" w:space="0" w:color="auto"/>
            <w:bottom w:val="none" w:sz="0" w:space="0" w:color="auto"/>
            <w:right w:val="none" w:sz="0" w:space="0" w:color="auto"/>
          </w:divBdr>
          <w:divsChild>
            <w:div w:id="2916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2649</Words>
  <Characters>14575</Characters>
  <Application>Microsoft Office Word</Application>
  <DocSecurity>0</DocSecurity>
  <Lines>121</Lines>
  <Paragraphs>34</Paragraphs>
  <ScaleCrop>false</ScaleCrop>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9</cp:revision>
  <dcterms:created xsi:type="dcterms:W3CDTF">2022-06-02T15:11:00Z</dcterms:created>
  <dcterms:modified xsi:type="dcterms:W3CDTF">2022-06-02T15:28:00Z</dcterms:modified>
</cp:coreProperties>
</file>