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C448" w14:textId="77777777" w:rsidR="00BF2797" w:rsidRDefault="00000000">
      <w:pPr>
        <w:spacing w:after="120"/>
        <w:rPr>
          <w:b/>
          <w:bCs/>
          <w:color w:val="666666"/>
          <w:sz w:val="20"/>
          <w:szCs w:val="20"/>
          <w:lang w:val="en-GB"/>
        </w:rPr>
      </w:pPr>
      <w:r w:rsidRPr="00925CCD">
        <w:rPr>
          <w:b/>
          <w:bCs/>
          <w:color w:val="666666"/>
          <w:sz w:val="20"/>
          <w:szCs w:val="20"/>
          <w:lang w:val="en-GB"/>
        </w:rPr>
        <w:t>LETTER TO THE EDITOR</w:t>
      </w:r>
    </w:p>
    <w:p w14:paraId="4E8E0364" w14:textId="77777777" w:rsidR="00907F8A" w:rsidRPr="00907F8A" w:rsidRDefault="00907F8A">
      <w:pPr>
        <w:spacing w:after="120"/>
        <w:rPr>
          <w:sz w:val="36"/>
          <w:szCs w:val="36"/>
          <w:lang w:val="en-GB"/>
        </w:rPr>
      </w:pPr>
    </w:p>
    <w:p w14:paraId="2643B54E" w14:textId="4AD576A9" w:rsidR="00BF2797" w:rsidRPr="007525F3" w:rsidRDefault="00000000">
      <w:pPr>
        <w:spacing w:before="240" w:after="240"/>
        <w:jc w:val="center"/>
        <w:rPr>
          <w:color w:val="EE0000"/>
          <w:sz w:val="36"/>
          <w:szCs w:val="36"/>
          <w:lang w:val="en-GB"/>
        </w:rPr>
      </w:pPr>
      <w:r w:rsidRPr="007525F3">
        <w:rPr>
          <w:b/>
          <w:bCs/>
          <w:color w:val="EE0000"/>
          <w:sz w:val="36"/>
          <w:szCs w:val="36"/>
          <w:lang w:val="en-GB"/>
        </w:rPr>
        <w:t xml:space="preserve">Sex determines palmitoylethanolamide efficacy in Alzheimer’s </w:t>
      </w:r>
      <w:r w:rsidR="00925CCD" w:rsidRPr="007525F3">
        <w:rPr>
          <w:b/>
          <w:bCs/>
          <w:color w:val="EE0000"/>
          <w:sz w:val="36"/>
          <w:szCs w:val="36"/>
          <w:lang w:val="en-GB"/>
        </w:rPr>
        <w:t xml:space="preserve">Tg2576 </w:t>
      </w:r>
      <w:r w:rsidRPr="007525F3">
        <w:rPr>
          <w:b/>
          <w:bCs/>
          <w:color w:val="EE0000"/>
          <w:sz w:val="36"/>
          <w:szCs w:val="36"/>
          <w:lang w:val="en-GB"/>
        </w:rPr>
        <w:t>mice through differential FAAH expression</w:t>
      </w:r>
    </w:p>
    <w:p w14:paraId="0E8F3F31" w14:textId="77777777" w:rsidR="00BF2797" w:rsidRPr="007525F3" w:rsidRDefault="00000000">
      <w:pPr>
        <w:spacing w:after="120"/>
        <w:jc w:val="center"/>
        <w:rPr>
          <w:i/>
          <w:iCs/>
          <w:color w:val="EE0000"/>
          <w:sz w:val="20"/>
          <w:szCs w:val="20"/>
          <w:lang w:val="en-GB"/>
        </w:rPr>
      </w:pPr>
      <w:r w:rsidRPr="007525F3">
        <w:rPr>
          <w:b/>
          <w:bCs/>
          <w:i/>
          <w:iCs/>
          <w:color w:val="EE0000"/>
          <w:sz w:val="20"/>
          <w:szCs w:val="20"/>
          <w:lang w:val="en-GB"/>
        </w:rPr>
        <w:t xml:space="preserve">Running title: </w:t>
      </w:r>
      <w:r w:rsidRPr="007525F3">
        <w:rPr>
          <w:i/>
          <w:iCs/>
          <w:color w:val="EE0000"/>
          <w:sz w:val="20"/>
          <w:szCs w:val="20"/>
          <w:lang w:val="en-GB"/>
        </w:rPr>
        <w:t>FAAH and PEA efficacy in female AD mice</w:t>
      </w:r>
    </w:p>
    <w:p w14:paraId="58192151" w14:textId="77777777" w:rsidR="00907F8A" w:rsidRPr="00925CCD" w:rsidRDefault="00907F8A">
      <w:pPr>
        <w:spacing w:after="120"/>
        <w:jc w:val="center"/>
        <w:rPr>
          <w:lang w:val="en-GB"/>
        </w:rPr>
      </w:pPr>
    </w:p>
    <w:p w14:paraId="077A8CA3" w14:textId="4521FD30" w:rsidR="00907F8A" w:rsidRDefault="00907F8A" w:rsidP="00907F8A">
      <w:pPr>
        <w:pStyle w:val="Standard"/>
        <w:jc w:val="center"/>
        <w:rPr>
          <w:rFonts w:ascii="Times New Roman" w:hAnsi="Times New Roman" w:cs="Times New Roman"/>
          <w:color w:val="000000"/>
          <w:sz w:val="24"/>
          <w:szCs w:val="24"/>
          <w:vertAlign w:val="subscript"/>
        </w:rPr>
      </w:pPr>
      <w:r w:rsidRPr="00F94BEA">
        <w:rPr>
          <w:rFonts w:ascii="Times New Roman" w:hAnsi="Times New Roman" w:cs="Times New Roman"/>
          <w:color w:val="000000"/>
          <w:sz w:val="24"/>
          <w:szCs w:val="24"/>
        </w:rPr>
        <w:t>Daniel Tortolani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1,2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; Anna Panuccio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1, 3</w:t>
      </w:r>
      <w:r w:rsidRPr="001B301B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Giacomo Giacovazzo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1,2</w:t>
      </w:r>
      <w:r w:rsidRPr="001B301B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4A5F5E" w:rsidRPr="004A5F5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A5F5E" w:rsidRPr="00F94BEA">
        <w:rPr>
          <w:rFonts w:ascii="Times New Roman" w:hAnsi="Times New Roman" w:cs="Times New Roman"/>
          <w:color w:val="000000"/>
          <w:sz w:val="24"/>
          <w:szCs w:val="24"/>
        </w:rPr>
        <w:t>Davide Decandia</w:t>
      </w:r>
      <w:r w:rsidR="004A5F5E"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1,3</w:t>
      </w:r>
      <w:r w:rsidR="004A5F5E" w:rsidRPr="001B301B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Lucia Scipioni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</w:t>
      </w:r>
      <w:r w:rsidR="009238C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; Francesca Ciaramellano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,2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238C2">
        <w:rPr>
          <w:rFonts w:ascii="Times New Roman" w:hAnsi="Times New Roman" w:cs="Times New Roman"/>
          <w:color w:val="000000"/>
          <w:sz w:val="24"/>
          <w:szCs w:val="24"/>
        </w:rPr>
        <w:t xml:space="preserve">Annalaura Sabatucci </w:t>
      </w:r>
      <w:r w:rsidR="009238C2" w:rsidRPr="009238C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1,5</w:t>
      </w:r>
      <w:r w:rsidR="001B301B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9238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Debora Cutuli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Roberto Coccurello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5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; Laura Petrosini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1#</w:t>
      </w:r>
      <w:r w:rsidRPr="00F94BEA">
        <w:rPr>
          <w:rFonts w:ascii="Times New Roman" w:hAnsi="Times New Roman" w:cs="Times New Roman"/>
          <w:color w:val="000000"/>
          <w:sz w:val="24"/>
          <w:szCs w:val="24"/>
        </w:rPr>
        <w:t>; Mauro Maccarrone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4</w:t>
      </w:r>
      <w:r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#</w:t>
      </w:r>
      <w:r w:rsidR="007525F3" w:rsidRPr="00F94BEA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7525F3" w:rsidRPr="007525F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525F3" w:rsidRPr="00F94BEA">
        <w:rPr>
          <w:rFonts w:ascii="Times New Roman" w:hAnsi="Times New Roman" w:cs="Times New Roman"/>
          <w:color w:val="000000"/>
          <w:sz w:val="24"/>
          <w:szCs w:val="24"/>
        </w:rPr>
        <w:t>Sergio Oddi</w:t>
      </w:r>
      <w:r w:rsidR="007525F3" w:rsidRPr="00F94BEA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1,2#</w:t>
      </w:r>
      <w:r w:rsidR="007525F3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§</w:t>
      </w:r>
    </w:p>
    <w:p w14:paraId="0BE6CADB" w14:textId="77777777" w:rsidR="00907F8A" w:rsidRPr="00F94BEA" w:rsidRDefault="00907F8A" w:rsidP="00907F8A">
      <w:pPr>
        <w:pStyle w:val="Standard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3720490" w14:textId="77777777" w:rsidR="00907F8A" w:rsidRPr="00F94BE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</w:rPr>
      </w:pPr>
      <w:r w:rsidRPr="00F94BEA">
        <w:rPr>
          <w:rFonts w:ascii="Times New Roman" w:hAnsi="Times New Roman" w:cs="Times New Roman"/>
          <w:color w:val="000000"/>
          <w:sz w:val="16"/>
          <w:szCs w:val="16"/>
        </w:rPr>
        <w:t>1</w:t>
      </w:r>
      <w:r>
        <w:rPr>
          <w:rFonts w:ascii="Times New Roman" w:hAnsi="Times New Roman" w:cs="Times New Roman"/>
          <w:color w:val="000000"/>
          <w:sz w:val="16"/>
          <w:szCs w:val="16"/>
        </w:rPr>
        <w:t>- European Center for Brain Research/</w:t>
      </w:r>
      <w:r w:rsidRPr="00F94BEA">
        <w:rPr>
          <w:rFonts w:ascii="Times New Roman" w:hAnsi="Times New Roman" w:cs="Times New Roman"/>
          <w:color w:val="000000"/>
          <w:sz w:val="16"/>
          <w:szCs w:val="16"/>
        </w:rPr>
        <w:t>Fondazione Santa Lucia IRCCS, 00143 Rome, Italy.</w:t>
      </w:r>
    </w:p>
    <w:p w14:paraId="4825B665" w14:textId="77777777" w:rsidR="00907F8A" w:rsidRPr="00F94BE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>2- Department of Veterinary Medicine, University of Teramo, 64100 Teramo, Italy.</w:t>
      </w:r>
    </w:p>
    <w:p w14:paraId="69D30F5D" w14:textId="77777777" w:rsidR="00907F8A" w:rsidRPr="00F94BE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>3- Department of Psychology, University Sapienza of Rome, 00185 Rome, Italy.</w:t>
      </w:r>
    </w:p>
    <w:p w14:paraId="61015859" w14:textId="77777777" w:rsidR="00907F8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4- Department of Biotechnological and </w:t>
      </w:r>
      <w:r>
        <w:rPr>
          <w:rFonts w:ascii="Times New Roman" w:hAnsi="Times New Roman" w:cs="Times New Roman"/>
          <w:color w:val="000000"/>
          <w:sz w:val="16"/>
          <w:szCs w:val="16"/>
          <w:lang w:val="en-US"/>
        </w:rPr>
        <w:t>A</w:t>
      </w: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pplied </w:t>
      </w:r>
      <w:r>
        <w:rPr>
          <w:rFonts w:ascii="Times New Roman" w:hAnsi="Times New Roman" w:cs="Times New Roman"/>
          <w:color w:val="000000"/>
          <w:sz w:val="16"/>
          <w:szCs w:val="16"/>
          <w:lang w:val="en-US"/>
        </w:rPr>
        <w:t>C</w:t>
      </w: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linical </w:t>
      </w:r>
      <w:r>
        <w:rPr>
          <w:rFonts w:ascii="Times New Roman" w:hAnsi="Times New Roman" w:cs="Times New Roman"/>
          <w:color w:val="000000"/>
          <w:sz w:val="16"/>
          <w:szCs w:val="16"/>
          <w:lang w:val="en-US"/>
        </w:rPr>
        <w:t>S</w:t>
      </w: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>ciences, University of L’Aquila, 67100 L’Aquila, Italy.</w:t>
      </w:r>
    </w:p>
    <w:p w14:paraId="2121B823" w14:textId="3889AF41" w:rsidR="009238C2" w:rsidRDefault="009238C2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5- </w:t>
      </w:r>
      <w:r w:rsidRPr="009238C2">
        <w:rPr>
          <w:rFonts w:ascii="Times New Roman" w:hAnsi="Times New Roman" w:cs="Times New Roman"/>
          <w:color w:val="000000"/>
          <w:sz w:val="16"/>
          <w:szCs w:val="16"/>
          <w:lang w:val="en-US"/>
        </w:rPr>
        <w:t>Department of Biosciences and Technology for Food Agriculture and Environment, University of Teramo, Via Renato Balzarini 1, 64100 Teramo, Italy.</w:t>
      </w:r>
    </w:p>
    <w:p w14:paraId="6EBC55BF" w14:textId="28B93281" w:rsidR="00907F8A" w:rsidRDefault="009238C2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000000"/>
          <w:sz w:val="16"/>
          <w:szCs w:val="16"/>
          <w:lang w:val="en-US"/>
        </w:rPr>
        <w:t>6</w:t>
      </w:r>
      <w:r w:rsidR="00907F8A">
        <w:rPr>
          <w:rFonts w:ascii="Times New Roman" w:hAnsi="Times New Roman" w:cs="Times New Roman"/>
          <w:color w:val="000000"/>
          <w:sz w:val="16"/>
          <w:szCs w:val="16"/>
          <w:lang w:val="en-US"/>
        </w:rPr>
        <w:t>-</w:t>
      </w:r>
      <w:r w:rsidR="00907F8A" w:rsidRPr="000D44E7">
        <w:rPr>
          <w:lang w:val="en-US"/>
        </w:rPr>
        <w:t xml:space="preserve"> </w:t>
      </w:r>
      <w:r w:rsidR="00907F8A"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 Institute for Complex Systems (ISC), National Council of Research (CNR), 00185 Rome, Italy</w:t>
      </w:r>
      <w:r w:rsidR="00907F8A">
        <w:rPr>
          <w:rFonts w:ascii="Times New Roman" w:hAnsi="Times New Roman" w:cs="Times New Roman"/>
          <w:color w:val="000000"/>
          <w:sz w:val="16"/>
          <w:szCs w:val="16"/>
          <w:lang w:val="en-US"/>
        </w:rPr>
        <w:t>.</w:t>
      </w:r>
      <w:r w:rsidR="00907F8A"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 </w:t>
      </w:r>
    </w:p>
    <w:p w14:paraId="40BD8E0A" w14:textId="77777777" w:rsidR="00907F8A" w:rsidRPr="00F94BE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 w:rsidRPr="00F94BEA">
        <w:rPr>
          <w:rFonts w:ascii="Times New Roman" w:hAnsi="Times New Roman" w:cs="Times New Roman"/>
          <w:color w:val="000000"/>
          <w:sz w:val="16"/>
          <w:szCs w:val="16"/>
          <w:lang w:val="en-US"/>
        </w:rPr>
        <w:t># Equally senior author</w:t>
      </w:r>
    </w:p>
    <w:p w14:paraId="1372D631" w14:textId="453C028D" w:rsidR="00907F8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  <w:r w:rsidRPr="00B426E7">
        <w:rPr>
          <w:rFonts w:ascii="Times New Roman" w:hAnsi="Times New Roman" w:cs="Times New Roman"/>
          <w:color w:val="000000"/>
          <w:sz w:val="16"/>
          <w:szCs w:val="16"/>
          <w:lang w:val="en-US"/>
        </w:rPr>
        <w:t>§</w:t>
      </w:r>
      <w:r>
        <w:rPr>
          <w:rFonts w:ascii="Times New Roman" w:hAnsi="Times New Roman" w:cs="Times New Roman"/>
          <w:color w:val="000000"/>
          <w:sz w:val="16"/>
          <w:szCs w:val="16"/>
          <w:lang w:val="en-US"/>
        </w:rPr>
        <w:t xml:space="preserve">Corresponding author </w:t>
      </w:r>
      <w:r w:rsidR="007525F3" w:rsidRPr="007525F3">
        <w:rPr>
          <w:rFonts w:ascii="Times New Roman" w:hAnsi="Times New Roman" w:cs="Times New Roman"/>
          <w:color w:val="156082" w:themeColor="accent1"/>
          <w:sz w:val="16"/>
          <w:szCs w:val="16"/>
          <w:lang w:val="en-US"/>
        </w:rPr>
        <w:t>soddi@unite.it</w:t>
      </w:r>
    </w:p>
    <w:p w14:paraId="42F96E06" w14:textId="77777777" w:rsidR="00A045EB" w:rsidRDefault="00A045EB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</w:p>
    <w:p w14:paraId="60858A16" w14:textId="25D2348E" w:rsidR="00A045EB" w:rsidRPr="00A045EB" w:rsidRDefault="00A045EB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A045EB"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Abstract:</w:t>
      </w:r>
      <w:r w:rsidRPr="00A045EB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Chronic palmitoylethanolamide (PEA) neuroprotection is markedly attenuated in female </w:t>
      </w:r>
      <w:r w:rsidRPr="00A045EB">
        <w:rPr>
          <w:rFonts w:ascii="Times New Roman" w:hAnsi="Times New Roman" w:cs="Times New Roman"/>
          <w:i/>
          <w:iCs/>
          <w:color w:val="000000"/>
          <w:sz w:val="24"/>
          <w:szCs w:val="24"/>
          <w:lang w:val="en-GB"/>
        </w:rPr>
        <w:t>versus</w:t>
      </w:r>
      <w:r w:rsidRPr="00A045EB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male Tg2576 Alzheimer's disease mice due to approximately two-fold higher hippocampal FAAH expression and activity, a constitutive, estrogen-driven sex difference that identifies FAAH inhibition as a rational co-therapeutic strategy for female patients</w:t>
      </w:r>
    </w:p>
    <w:p w14:paraId="159D1993" w14:textId="77777777" w:rsidR="00907F8A" w:rsidRPr="00907F8A" w:rsidRDefault="00907F8A" w:rsidP="00907F8A">
      <w:pPr>
        <w:pStyle w:val="Standard"/>
        <w:spacing w:line="240" w:lineRule="auto"/>
        <w:rPr>
          <w:rFonts w:ascii="Times New Roman" w:hAnsi="Times New Roman" w:cs="Times New Roman"/>
          <w:color w:val="000000"/>
          <w:sz w:val="16"/>
          <w:szCs w:val="16"/>
          <w:lang w:val="en-US"/>
        </w:rPr>
      </w:pPr>
    </w:p>
    <w:p w14:paraId="21073E88" w14:textId="168EC049" w:rsidR="00907F8A" w:rsidRPr="00A07292" w:rsidRDefault="00000000" w:rsidP="00A07292">
      <w:pPr>
        <w:spacing w:after="360"/>
        <w:rPr>
          <w:lang w:val="en-GB"/>
        </w:rPr>
      </w:pPr>
      <w:r w:rsidRPr="00925CCD">
        <w:rPr>
          <w:b/>
          <w:bCs/>
          <w:lang w:val="en-GB"/>
        </w:rPr>
        <w:t xml:space="preserve">Keywords: </w:t>
      </w:r>
      <w:r w:rsidRPr="00925CCD">
        <w:rPr>
          <w:lang w:val="en-GB"/>
        </w:rPr>
        <w:t>Palmitoylethanolamide; Alzheimer’s disease; Sexual dimorphism; FAAH; Sex differences in drug response; Endocannabinoid catabolism; Precision medicine</w:t>
      </w:r>
    </w:p>
    <w:p w14:paraId="592C6413" w14:textId="378FC1B6" w:rsidR="00BF2797" w:rsidRPr="001E23E4" w:rsidRDefault="00000000">
      <w:pPr>
        <w:spacing w:after="200" w:line="480" w:lineRule="auto"/>
        <w:jc w:val="both"/>
        <w:rPr>
          <w:sz w:val="28"/>
          <w:szCs w:val="28"/>
          <w:lang w:val="en-GB"/>
        </w:rPr>
      </w:pPr>
      <w:r w:rsidRPr="001E23E4">
        <w:rPr>
          <w:b/>
          <w:bCs/>
          <w:sz w:val="28"/>
          <w:szCs w:val="28"/>
          <w:lang w:val="en-GB"/>
        </w:rPr>
        <w:t>To the Editor,</w:t>
      </w:r>
    </w:p>
    <w:p w14:paraId="4737F3E3" w14:textId="77777777" w:rsidR="00A045EB" w:rsidRDefault="00000000" w:rsidP="003151DE">
      <w:pPr>
        <w:spacing w:after="200" w:line="480" w:lineRule="auto"/>
        <w:ind w:firstLine="708"/>
        <w:jc w:val="both"/>
        <w:rPr>
          <w:lang w:val="en-GB"/>
        </w:rPr>
      </w:pPr>
      <w:r w:rsidRPr="00925CCD">
        <w:rPr>
          <w:lang w:val="en-GB"/>
        </w:rPr>
        <w:t xml:space="preserve">Most preclinical drug candidates fail during clinical translation, and a growing body of evidence identifies sex bias in preclinical research as a critical contributing factor [1,2]. Despite a 2014 </w:t>
      </w:r>
      <w:r w:rsidR="001E23E4" w:rsidRPr="001E23E4">
        <w:rPr>
          <w:lang w:val="en-GB"/>
        </w:rPr>
        <w:t xml:space="preserve">US National Institutes of Health </w:t>
      </w:r>
      <w:r w:rsidR="001E23E4">
        <w:rPr>
          <w:lang w:val="en-GB"/>
        </w:rPr>
        <w:t>(</w:t>
      </w:r>
      <w:r w:rsidRPr="00925CCD">
        <w:rPr>
          <w:lang w:val="en-GB"/>
        </w:rPr>
        <w:t>NIH</w:t>
      </w:r>
      <w:r w:rsidR="001E23E4">
        <w:rPr>
          <w:lang w:val="en-GB"/>
        </w:rPr>
        <w:t xml:space="preserve">) </w:t>
      </w:r>
      <w:r w:rsidRPr="00925CCD">
        <w:rPr>
          <w:lang w:val="en-GB"/>
        </w:rPr>
        <w:t xml:space="preserve">mandate requiring the consideration of sex as a </w:t>
      </w:r>
      <w:r w:rsidRPr="00925CCD">
        <w:rPr>
          <w:lang w:val="en-GB"/>
        </w:rPr>
        <w:lastRenderedPageBreak/>
        <w:t xml:space="preserve">biological variable [3], </w:t>
      </w:r>
      <w:r w:rsidR="002F7F69" w:rsidRPr="00925CCD">
        <w:rPr>
          <w:lang w:val="en-GB"/>
        </w:rPr>
        <w:t>most</w:t>
      </w:r>
      <w:r w:rsidRPr="00925CCD">
        <w:rPr>
          <w:lang w:val="en-GB"/>
        </w:rPr>
        <w:t xml:space="preserve"> preclinical studies in neuroscience and neuropharmacology continue to rely predominantly or exclusively on male subjects [4]. </w:t>
      </w:r>
    </w:p>
    <w:p w14:paraId="4EE6FE46" w14:textId="75FEB378" w:rsidR="00A07292" w:rsidRDefault="00000000" w:rsidP="00A045EB">
      <w:pPr>
        <w:spacing w:after="200" w:line="480" w:lineRule="auto"/>
        <w:jc w:val="both"/>
        <w:rPr>
          <w:lang w:val="en-GB"/>
        </w:rPr>
      </w:pPr>
      <w:r w:rsidRPr="00925CCD">
        <w:rPr>
          <w:lang w:val="en-GB"/>
        </w:rPr>
        <w:t xml:space="preserve">This imbalance is particularly consequential in Alzheimer’s disease (AD), where women comprise approximately two-thirds of patients and often exhibit more aggressive cognitive decline than men [5], yet therapeutic strategies are overwhelmingly developed and validated in male animals. </w:t>
      </w:r>
    </w:p>
    <w:p w14:paraId="4F595884" w14:textId="77777777" w:rsidR="00243BAC" w:rsidRDefault="00243BAC" w:rsidP="00243BAC">
      <w:pPr>
        <w:spacing w:after="200" w:line="480" w:lineRule="auto"/>
        <w:ind w:firstLine="708"/>
        <w:jc w:val="both"/>
        <w:rPr>
          <w:lang w:val="en-GB"/>
        </w:rPr>
      </w:pPr>
      <w:r w:rsidRPr="00243BAC">
        <w:rPr>
          <w:lang w:val="en-GB"/>
        </w:rPr>
        <w:t>We recently demonstrated that chronic Palmitoylethanolamide (PEA)</w:t>
      </w:r>
      <w:r>
        <w:rPr>
          <w:lang w:val="en-GB"/>
        </w:rPr>
        <w:t xml:space="preserve"> </w:t>
      </w:r>
      <w:r w:rsidRPr="00243BAC">
        <w:rPr>
          <w:lang w:val="en-GB"/>
        </w:rPr>
        <w:t>administration via subcutaneous slow-release pellets exerts broad neuroprotective effects in male Tg2576 mice, including attenuation of neuroinflammation, reduction of nitrosative stress, restoration of hippocampal dendritic spine density, and rescue of cognitive deficits [6].</w:t>
      </w:r>
      <w:r>
        <w:rPr>
          <w:lang w:val="en-GB"/>
        </w:rPr>
        <w:t xml:space="preserve"> </w:t>
      </w:r>
      <w:r w:rsidRPr="00925CCD">
        <w:rPr>
          <w:lang w:val="en-GB"/>
        </w:rPr>
        <w:t xml:space="preserve"> </w:t>
      </w:r>
    </w:p>
    <w:p w14:paraId="2F526187" w14:textId="31A6F23A" w:rsidR="00BF2797" w:rsidRDefault="00243BAC" w:rsidP="00243BAC">
      <w:pPr>
        <w:spacing w:after="200" w:line="480" w:lineRule="auto"/>
        <w:ind w:firstLine="708"/>
        <w:jc w:val="both"/>
        <w:rPr>
          <w:lang w:val="en-GB"/>
        </w:rPr>
      </w:pPr>
      <w:r>
        <w:rPr>
          <w:lang w:val="en-GB"/>
        </w:rPr>
        <w:t>Here, w</w:t>
      </w:r>
      <w:r w:rsidRPr="00243BAC">
        <w:rPr>
          <w:lang w:val="en-GB"/>
        </w:rPr>
        <w:t>e applied the identical chronic PEA protocol to female Tg2576 mice and assessed the core therapeutic endpoints evaluated in males</w:t>
      </w:r>
      <w:r>
        <w:rPr>
          <w:lang w:val="en-GB"/>
        </w:rPr>
        <w:t xml:space="preserve"> </w:t>
      </w:r>
      <w:r w:rsidRPr="00243BAC">
        <w:rPr>
          <w:lang w:val="en-GB"/>
        </w:rPr>
        <w:t>cognitive performance (NORT), hippocampal CA1 dendritic spine density, and nitrosative stress (3-NT</w:t>
      </w:r>
      <w:r>
        <w:rPr>
          <w:lang w:val="en-GB"/>
        </w:rPr>
        <w:t xml:space="preserve">) </w:t>
      </w:r>
      <w:r w:rsidRPr="00243BAC">
        <w:rPr>
          <w:lang w:val="en-GB"/>
        </w:rPr>
        <w:t xml:space="preserve">selected as the most functionally relevant readouts of PEA-mediated neuroprotection, encompassing behavioral, structural, and biochemical measures of disease modification. </w:t>
      </w:r>
      <w:r w:rsidRPr="00925CCD">
        <w:rPr>
          <w:lang w:val="en-GB"/>
        </w:rPr>
        <w:t xml:space="preserve">PEA treatment produced markedly different cognitive outcomes depending on sex. In male Tg2576 mice, PEA significantly improved discrimination index in the NORT compared to vehicle (p = 0.017, Cohen’s d = 1.39) [6]. In contrast, PEA-treated females showed a modest, non-significant improvement (59.1 ± 3.0% </w:t>
      </w:r>
      <w:r w:rsidRPr="00243BAC">
        <w:rPr>
          <w:i/>
          <w:iCs/>
          <w:lang w:val="en-GB"/>
        </w:rPr>
        <w:t>vs.</w:t>
      </w:r>
      <w:r w:rsidRPr="00925CCD">
        <w:rPr>
          <w:lang w:val="en-GB"/>
        </w:rPr>
        <w:t xml:space="preserve"> 53.8 ± 1.9%; p = 0.49</w:t>
      </w:r>
      <w:r w:rsidR="00DD23CB">
        <w:rPr>
          <w:lang w:val="en-GB"/>
        </w:rPr>
        <w:t>6</w:t>
      </w:r>
      <w:r w:rsidRPr="00925CCD">
        <w:rPr>
          <w:lang w:val="en-GB"/>
        </w:rPr>
        <w:t>, d = 0.64), yielding an effect size approximately half that observed in males</w:t>
      </w:r>
      <w:r w:rsidR="000954DE">
        <w:rPr>
          <w:lang w:val="en-GB"/>
        </w:rPr>
        <w:t xml:space="preserve"> (Fig.1A)</w:t>
      </w:r>
      <w:r w:rsidRPr="00925CCD">
        <w:rPr>
          <w:lang w:val="en-GB"/>
        </w:rPr>
        <w:t>.</w:t>
      </w:r>
    </w:p>
    <w:p w14:paraId="5CCDF32F" w14:textId="64B96D16" w:rsidR="00243BAC" w:rsidRPr="00243BAC" w:rsidRDefault="00243BAC" w:rsidP="00243BAC">
      <w:pPr>
        <w:spacing w:after="200" w:line="480" w:lineRule="auto"/>
        <w:ind w:firstLine="708"/>
        <w:jc w:val="both"/>
        <w:rPr>
          <w:lang w:val="en-GB"/>
        </w:rPr>
      </w:pPr>
      <w:r w:rsidRPr="00243BAC">
        <w:rPr>
          <w:lang w:val="en-GB"/>
        </w:rPr>
        <w:t>While chronic PEA treatment restored apical (p = 0.012) and basal (p = 0.026) dendritic spine density in male Tg2576 mice [6], no significant rescue was observed in females for either apical (Tg Veh: 2.21 ± 0.49 vs. Tg PEA: 2.64 ± 0.92 n/</w:t>
      </w:r>
      <w:r w:rsidRPr="00243BAC">
        <w:t>μ</w:t>
      </w:r>
      <w:r w:rsidRPr="00243BAC">
        <w:rPr>
          <w:lang w:val="en-GB"/>
        </w:rPr>
        <w:t xml:space="preserve">m; p = 0.37, d = 0.58) </w:t>
      </w:r>
      <w:r w:rsidR="00DD23CB">
        <w:rPr>
          <w:lang w:val="en-GB"/>
        </w:rPr>
        <w:t xml:space="preserve">(Fig.1B) </w:t>
      </w:r>
      <w:r w:rsidRPr="00243BAC">
        <w:rPr>
          <w:lang w:val="en-GB"/>
        </w:rPr>
        <w:t xml:space="preserve">or </w:t>
      </w:r>
      <w:r w:rsidRPr="00243BAC">
        <w:rPr>
          <w:lang w:val="en-GB"/>
        </w:rPr>
        <w:lastRenderedPageBreak/>
        <w:t>basal (Tg Veh: 2.11 ± 0.34 vs. Tg PEA: 2.61 ± 0.80 n/</w:t>
      </w:r>
      <w:r w:rsidRPr="00243BAC">
        <w:t>μ</w:t>
      </w:r>
      <w:r w:rsidRPr="00243BAC">
        <w:rPr>
          <w:lang w:val="en-GB"/>
        </w:rPr>
        <w:t>m; p = 0.12, d = 0.81) dendrites</w:t>
      </w:r>
      <w:r w:rsidR="00DD23CB">
        <w:rPr>
          <w:lang w:val="en-GB"/>
        </w:rPr>
        <w:t xml:space="preserve"> (Fig.1C)</w:t>
      </w:r>
      <w:r w:rsidRPr="00243BAC">
        <w:rPr>
          <w:lang w:val="en-GB"/>
        </w:rPr>
        <w:t>, consistent with the attenuated cognitive response</w:t>
      </w:r>
      <w:r w:rsidR="000954DE">
        <w:rPr>
          <w:lang w:val="en-GB"/>
        </w:rPr>
        <w:t>.</w:t>
      </w:r>
    </w:p>
    <w:p w14:paraId="36942D6D" w14:textId="417EFB63" w:rsidR="00D7642F" w:rsidRPr="00D7642F" w:rsidRDefault="00000000" w:rsidP="00243BAC">
      <w:pPr>
        <w:spacing w:after="200" w:line="480" w:lineRule="auto"/>
        <w:ind w:firstLine="708"/>
        <w:jc w:val="both"/>
        <w:rPr>
          <w:lang w:val="en-GB"/>
        </w:rPr>
      </w:pPr>
      <w:r w:rsidRPr="00925CCD">
        <w:rPr>
          <w:lang w:val="en-GB"/>
        </w:rPr>
        <w:t>PEA reduced hippocampal 3-NT levels in both sexes in proportional terms (−30.4% in males, −20.6% in females), but this reduction reached statistical significance only in males (13.3 ± 0.8 vs. 19.1 ± 0.8; p = 0.0002, d = −2.97) and not in females (7.7 ± 0.8 vs. 9.7 ± 1.3; p = 0.218, d = −0.75)</w:t>
      </w:r>
      <w:r w:rsidR="000954DE">
        <w:rPr>
          <w:lang w:val="en-GB"/>
        </w:rPr>
        <w:t xml:space="preserve"> (Fig.1</w:t>
      </w:r>
      <w:r w:rsidR="00DD23CB">
        <w:rPr>
          <w:lang w:val="en-GB"/>
        </w:rPr>
        <w:t>D</w:t>
      </w:r>
      <w:r w:rsidR="000954DE">
        <w:rPr>
          <w:lang w:val="en-GB"/>
        </w:rPr>
        <w:t>)</w:t>
      </w:r>
      <w:r w:rsidR="000954DE" w:rsidRPr="000954DE">
        <w:rPr>
          <w:lang w:val="en-GB"/>
        </w:rPr>
        <w:t xml:space="preserve">. </w:t>
      </w:r>
      <w:r w:rsidR="00D7642F" w:rsidRPr="00D7642F">
        <w:rPr>
          <w:lang w:val="en-GB"/>
        </w:rPr>
        <w:t xml:space="preserve">Since nitrosative stress has been proposed as an upstream driver of synaptic dysfunction in AD, potentially through calcineurin-dependent mechanisms [6], the attenuated reduction of 3-NT in females may contribute to the lack of significant spine rescue observed above, suggesting a link between diminished </w:t>
      </w:r>
      <w:r w:rsidR="00225E7D" w:rsidRPr="00D7642F">
        <w:rPr>
          <w:lang w:val="en-GB"/>
        </w:rPr>
        <w:t>antioxidant</w:t>
      </w:r>
      <w:r w:rsidR="00D7642F" w:rsidRPr="00D7642F">
        <w:rPr>
          <w:lang w:val="en-GB"/>
        </w:rPr>
        <w:t xml:space="preserve"> efficacy and impaired structural synaptic recovery.</w:t>
      </w:r>
    </w:p>
    <w:p w14:paraId="1D1A7FFF" w14:textId="34CA8A1C" w:rsidR="00470B28" w:rsidRDefault="00DB773A" w:rsidP="00470B28">
      <w:pPr>
        <w:spacing w:after="200" w:line="480" w:lineRule="auto"/>
        <w:ind w:firstLine="708"/>
        <w:jc w:val="both"/>
        <w:rPr>
          <w:lang w:val="en-GB"/>
        </w:rPr>
      </w:pPr>
      <w:r>
        <w:rPr>
          <w:lang w:val="en-GB"/>
        </w:rPr>
        <w:t>T</w:t>
      </w:r>
      <w:r w:rsidRPr="00DB773A">
        <w:rPr>
          <w:lang w:val="en-GB"/>
        </w:rPr>
        <w:t xml:space="preserve">he results revealed a substantially attenuated therapeutic response in females across multiple endpoints. This unexpected finding prompted us to investigate whether sex differences in </w:t>
      </w:r>
      <w:r>
        <w:rPr>
          <w:lang w:val="en-GB"/>
        </w:rPr>
        <w:t xml:space="preserve">hippocampal </w:t>
      </w:r>
      <w:r w:rsidRPr="00DB773A">
        <w:rPr>
          <w:lang w:val="en-GB"/>
        </w:rPr>
        <w:t xml:space="preserve">PEA catabolism could account for the reduced efficacy, leading us to quantify </w:t>
      </w:r>
      <w:r w:rsidR="00DD0ADD" w:rsidRPr="00DD0ADD">
        <w:rPr>
          <w:lang w:val="en-GB"/>
        </w:rPr>
        <w:t xml:space="preserve">Fatty Acid Amide Hydrolase </w:t>
      </w:r>
      <w:r w:rsidR="00DD0ADD">
        <w:rPr>
          <w:lang w:val="en-GB"/>
        </w:rPr>
        <w:t>(</w:t>
      </w:r>
      <w:r w:rsidRPr="00DB773A">
        <w:rPr>
          <w:lang w:val="en-GB"/>
        </w:rPr>
        <w:t>FAAH</w:t>
      </w:r>
      <w:r w:rsidR="00DD0ADD">
        <w:rPr>
          <w:lang w:val="en-GB"/>
        </w:rPr>
        <w:t>)</w:t>
      </w:r>
      <w:r>
        <w:rPr>
          <w:lang w:val="en-GB"/>
        </w:rPr>
        <w:t xml:space="preserve">, </w:t>
      </w:r>
      <w:r w:rsidRPr="00DB773A">
        <w:rPr>
          <w:lang w:val="en-GB"/>
        </w:rPr>
        <w:t>the principal neuronal enzyme responsible for PEA hydrolysi</w:t>
      </w:r>
      <w:r>
        <w:rPr>
          <w:lang w:val="en-GB"/>
        </w:rPr>
        <w:t xml:space="preserve">s </w:t>
      </w:r>
      <w:r w:rsidRPr="00DB773A">
        <w:rPr>
          <w:lang w:val="en-GB"/>
        </w:rPr>
        <w:t xml:space="preserve">at the mRNA, protein, and enzymatic activity levels in male </w:t>
      </w:r>
      <w:r w:rsidRPr="00DB773A">
        <w:rPr>
          <w:i/>
          <w:iCs/>
          <w:lang w:val="en-GB"/>
        </w:rPr>
        <w:t>versus</w:t>
      </w:r>
      <w:r w:rsidRPr="00DB773A">
        <w:rPr>
          <w:lang w:val="en-GB"/>
        </w:rPr>
        <w:t xml:space="preserve"> female hippocampus of Tg2576 mice.</w:t>
      </w:r>
    </w:p>
    <w:p w14:paraId="5FF31A20" w14:textId="3F3A41A8" w:rsidR="00752F86" w:rsidRDefault="00000000" w:rsidP="00752F86">
      <w:pPr>
        <w:spacing w:after="200" w:line="480" w:lineRule="auto"/>
        <w:ind w:firstLine="708"/>
        <w:jc w:val="both"/>
        <w:rPr>
          <w:lang w:val="en-GB"/>
        </w:rPr>
      </w:pPr>
      <w:r w:rsidRPr="00925CCD">
        <w:rPr>
          <w:lang w:val="en-GB"/>
        </w:rPr>
        <w:t>Female Tg2576 mice exhibited approximately two-fold higher FAAH mRNA (2.17×; p = 0.028)</w:t>
      </w:r>
      <w:r w:rsidR="00225E7D" w:rsidRPr="00225E7D">
        <w:rPr>
          <w:lang w:val="en-GB"/>
        </w:rPr>
        <w:t xml:space="preserve"> </w:t>
      </w:r>
      <w:r w:rsidR="00225E7D">
        <w:rPr>
          <w:lang w:val="en-GB"/>
        </w:rPr>
        <w:t>(Fig.1</w:t>
      </w:r>
      <w:r w:rsidR="00C741F2">
        <w:rPr>
          <w:lang w:val="en-GB"/>
        </w:rPr>
        <w:t>E</w:t>
      </w:r>
      <w:r w:rsidR="00225E7D">
        <w:rPr>
          <w:lang w:val="en-GB"/>
        </w:rPr>
        <w:t>)</w:t>
      </w:r>
      <w:r w:rsidRPr="00925CCD">
        <w:rPr>
          <w:lang w:val="en-GB"/>
        </w:rPr>
        <w:t>, protein levels (2.15×; p = 0.0005)</w:t>
      </w:r>
      <w:r w:rsidR="00225E7D" w:rsidRPr="00225E7D">
        <w:rPr>
          <w:lang w:val="en-GB"/>
        </w:rPr>
        <w:t xml:space="preserve"> </w:t>
      </w:r>
      <w:r w:rsidR="00225E7D">
        <w:rPr>
          <w:lang w:val="en-GB"/>
        </w:rPr>
        <w:t>(Fig.1</w:t>
      </w:r>
      <w:r w:rsidR="00C741F2">
        <w:rPr>
          <w:lang w:val="en-GB"/>
        </w:rPr>
        <w:t>F-G</w:t>
      </w:r>
      <w:r w:rsidR="00225E7D">
        <w:rPr>
          <w:lang w:val="en-GB"/>
        </w:rPr>
        <w:t>)</w:t>
      </w:r>
      <w:r w:rsidRPr="00925CCD">
        <w:rPr>
          <w:lang w:val="en-GB"/>
        </w:rPr>
        <w:t>, and enzymatic activity (2.12×; p = 0.005) compared to male</w:t>
      </w:r>
      <w:r w:rsidR="00225E7D">
        <w:rPr>
          <w:lang w:val="en-GB"/>
        </w:rPr>
        <w:t>s (Fig.1</w:t>
      </w:r>
      <w:r w:rsidR="005C413A">
        <w:rPr>
          <w:lang w:val="en-GB"/>
        </w:rPr>
        <w:t>H</w:t>
      </w:r>
      <w:r w:rsidR="00225E7D">
        <w:rPr>
          <w:lang w:val="en-GB"/>
        </w:rPr>
        <w:t>).</w:t>
      </w:r>
      <w:r w:rsidR="00EB2963">
        <w:rPr>
          <w:lang w:val="en-GB"/>
        </w:rPr>
        <w:t xml:space="preserve"> </w:t>
      </w:r>
      <w:r w:rsidR="00752F86" w:rsidRPr="00752F86">
        <w:rPr>
          <w:lang w:val="en-GB"/>
        </w:rPr>
        <w:t>This sex difference was independent of the Tg2576 genotype, as wild-type</w:t>
      </w:r>
      <w:r w:rsidR="00DD0ADD">
        <w:rPr>
          <w:lang w:val="en-GB"/>
        </w:rPr>
        <w:t xml:space="preserve"> (WT)</w:t>
      </w:r>
      <w:r w:rsidR="00752F86" w:rsidRPr="00752F86">
        <w:rPr>
          <w:lang w:val="en-GB"/>
        </w:rPr>
        <w:t xml:space="preserve"> females also displayed significantly elevated FAAH protein levels relative to </w:t>
      </w:r>
      <w:r w:rsidR="00DD0ADD">
        <w:rPr>
          <w:lang w:val="en-GB"/>
        </w:rPr>
        <w:t>WT</w:t>
      </w:r>
      <w:r w:rsidR="00752F86" w:rsidRPr="00752F86">
        <w:rPr>
          <w:lang w:val="en-GB"/>
        </w:rPr>
        <w:t xml:space="preserve"> males (1.75×; p = 0.021; Supplementary Fig. S1). This is consistent with a constitutive, hormonally driven phenomenon, supported by the presence of both </w:t>
      </w:r>
      <w:r w:rsidR="00DD0ADD" w:rsidRPr="00DD0ADD">
        <w:t>α</w:t>
      </w:r>
      <w:r w:rsidR="00DD0ADD" w:rsidRPr="00DD0ADD">
        <w:rPr>
          <w:lang w:val="en-GB"/>
        </w:rPr>
        <w:t>-adrenergic a</w:t>
      </w:r>
      <w:r w:rsidR="00DD0ADD">
        <w:rPr>
          <w:lang w:val="en-GB"/>
        </w:rPr>
        <w:t xml:space="preserve">nd </w:t>
      </w:r>
      <w:r w:rsidR="00DD0ADD" w:rsidRPr="00DD0ADD">
        <w:t>β</w:t>
      </w:r>
      <w:r w:rsidR="00DD0ADD" w:rsidRPr="00DD0ADD">
        <w:rPr>
          <w:lang w:val="en-GB"/>
        </w:rPr>
        <w:t xml:space="preserve">-adrenergic receptors </w:t>
      </w:r>
      <w:r w:rsidR="00DD0ADD">
        <w:rPr>
          <w:lang w:val="en-GB"/>
        </w:rPr>
        <w:t>(</w:t>
      </w:r>
      <w:r w:rsidR="00752F86" w:rsidRPr="00752F86">
        <w:rPr>
          <w:lang w:val="en-GB"/>
        </w:rPr>
        <w:t>ERα and E</w:t>
      </w:r>
      <w:r w:rsidR="00DD0ADD" w:rsidRPr="00752F86">
        <w:rPr>
          <w:lang w:val="en-GB"/>
        </w:rPr>
        <w:t>r</w:t>
      </w:r>
      <w:r w:rsidR="00752F86" w:rsidRPr="00752F86">
        <w:rPr>
          <w:lang w:val="en-GB"/>
        </w:rPr>
        <w:t>β</w:t>
      </w:r>
      <w:r w:rsidR="00DD0ADD">
        <w:rPr>
          <w:lang w:val="en-GB"/>
        </w:rPr>
        <w:t>)</w:t>
      </w:r>
      <w:r w:rsidR="00752F86" w:rsidRPr="00752F86">
        <w:rPr>
          <w:lang w:val="en-GB"/>
        </w:rPr>
        <w:t xml:space="preserve"> responsive elements in the mouse FAAH gene promoter (Supplementary Fig. S2) [7]</w:t>
      </w:r>
      <w:r w:rsidR="00752F86">
        <w:rPr>
          <w:lang w:val="en-GB"/>
        </w:rPr>
        <w:t>.</w:t>
      </w:r>
    </w:p>
    <w:p w14:paraId="1982118A" w14:textId="61E9C338" w:rsidR="006709C6" w:rsidRDefault="00000000" w:rsidP="00752F86">
      <w:pPr>
        <w:spacing w:after="200" w:line="480" w:lineRule="auto"/>
        <w:ind w:firstLine="708"/>
        <w:jc w:val="both"/>
        <w:rPr>
          <w:lang w:val="en-GB"/>
        </w:rPr>
      </w:pPr>
      <w:r w:rsidRPr="00925CCD">
        <w:rPr>
          <w:lang w:val="en-GB"/>
        </w:rPr>
        <w:lastRenderedPageBreak/>
        <w:t xml:space="preserve">Importantly, although both FAAH and </w:t>
      </w:r>
      <w:r w:rsidRPr="006709C6">
        <w:rPr>
          <w:i/>
          <w:iCs/>
          <w:lang w:val="en-GB"/>
        </w:rPr>
        <w:t>N</w:t>
      </w:r>
      <w:r w:rsidRPr="00925CCD">
        <w:rPr>
          <w:lang w:val="en-GB"/>
        </w:rPr>
        <w:t>-acylethanolamine acid amidase (NAAA) can hydrolyze PEA, their contributions are strongly tissue-dependent [8]. In the brain, FAAH</w:t>
      </w:r>
      <w:r w:rsidR="006709C6">
        <w:rPr>
          <w:lang w:val="en-GB"/>
        </w:rPr>
        <w:t xml:space="preserve"> </w:t>
      </w:r>
      <w:r w:rsidRPr="00925CCD">
        <w:rPr>
          <w:lang w:val="en-GB"/>
        </w:rPr>
        <w:t>a membrane-bound serine hydrolase highly expressed in neurons</w:t>
      </w:r>
      <w:r w:rsidR="006709C6">
        <w:rPr>
          <w:lang w:val="en-GB"/>
        </w:rPr>
        <w:t xml:space="preserve">, </w:t>
      </w:r>
      <w:r w:rsidRPr="00925CCD">
        <w:rPr>
          <w:lang w:val="en-GB"/>
        </w:rPr>
        <w:t xml:space="preserve">is the predominant catabolic enzyme, whereas NAAA is a lysosomal cysteine hydrolase primarily expressed in immune cells with optimal activity at acidic pH, gaining relevance mainly under conditions of immune cell infiltration [8,9]. Moreover, intracellular fatty acid binding proteins do not deliver exogenously administered PEA to lysosomal NAAA, establishing FAAH as the primary degradation route for exogenous PEA in the central nervous system [10]. </w:t>
      </w:r>
    </w:p>
    <w:p w14:paraId="00CF8395" w14:textId="0EE7247F" w:rsidR="00523C97" w:rsidRDefault="00523C97" w:rsidP="00523C97">
      <w:pPr>
        <w:spacing w:after="200" w:line="480" w:lineRule="auto"/>
        <w:ind w:firstLine="708"/>
        <w:jc w:val="both"/>
        <w:rPr>
          <w:lang w:val="en-GB"/>
        </w:rPr>
      </w:pPr>
      <w:r w:rsidRPr="00523C97">
        <w:rPr>
          <w:lang w:val="en-GB"/>
        </w:rPr>
        <w:t>Consistent with this, NAAA expression showed a non-significant trend toward higher levels in females at both the mRNA (1.46×; p = 0.232) and protein (2.49×; p = 0.128) level</w:t>
      </w:r>
      <w:r w:rsidR="001917A7">
        <w:rPr>
          <w:lang w:val="en-GB"/>
        </w:rPr>
        <w:t>;</w:t>
      </w:r>
      <w:r>
        <w:rPr>
          <w:lang w:val="en-GB"/>
        </w:rPr>
        <w:t xml:space="preserve"> </w:t>
      </w:r>
      <w:r w:rsidRPr="00523C97">
        <w:rPr>
          <w:lang w:val="en-GB"/>
        </w:rPr>
        <w:t>a weaker sex difference that may reflect the presence of only an ER</w:t>
      </w:r>
      <w:r w:rsidRPr="00523C97">
        <w:t>α</w:t>
      </w:r>
      <w:r w:rsidRPr="00523C97">
        <w:rPr>
          <w:lang w:val="en-GB"/>
        </w:rPr>
        <w:t xml:space="preserve"> element in the NAAA promoter, compared to both ER</w:t>
      </w:r>
      <w:r w:rsidRPr="00523C97">
        <w:t>α</w:t>
      </w:r>
      <w:r w:rsidRPr="00523C97">
        <w:rPr>
          <w:lang w:val="en-GB"/>
        </w:rPr>
        <w:t xml:space="preserve"> and ER</w:t>
      </w:r>
      <w:r w:rsidRPr="00523C97">
        <w:t>β</w:t>
      </w:r>
      <w:r w:rsidRPr="00523C97">
        <w:rPr>
          <w:lang w:val="en-GB"/>
        </w:rPr>
        <w:t xml:space="preserve"> elements in the FAAH promoter (Supplementary Fig. S2)</w:t>
      </w:r>
      <w:r>
        <w:rPr>
          <w:lang w:val="en-GB"/>
        </w:rPr>
        <w:t xml:space="preserve"> </w:t>
      </w:r>
      <w:r w:rsidRPr="00523C97">
        <w:rPr>
          <w:lang w:val="en-GB"/>
        </w:rPr>
        <w:t>reinforcing the interpretation that neuronal FAAH-mediated catabolism is the principal pharmacokinetic determinant of sex-dependent PEA efficacy in the brain.</w:t>
      </w:r>
    </w:p>
    <w:p w14:paraId="63740D11" w14:textId="017D699C" w:rsidR="00BF2797" w:rsidRPr="00925CCD" w:rsidRDefault="00000000" w:rsidP="00D7642F">
      <w:pPr>
        <w:spacing w:after="200" w:line="480" w:lineRule="auto"/>
        <w:ind w:firstLine="708"/>
        <w:jc w:val="both"/>
        <w:rPr>
          <w:lang w:val="en-GB"/>
        </w:rPr>
      </w:pPr>
      <w:r w:rsidRPr="00925CCD">
        <w:rPr>
          <w:lang w:val="en-GB"/>
        </w:rPr>
        <w:t xml:space="preserve">Our findings provide a concrete, mechanistic illustration of why sex-stratified preclinical testing is not merely a matter of policy compliance but a scientific necessity. The prevailing practice of evaluating neuroprotective compounds exclusively in male animals generates efficacy data that may not generalize to </w:t>
      </w:r>
      <w:r w:rsidR="002F7F69" w:rsidRPr="00925CCD">
        <w:rPr>
          <w:lang w:val="en-GB"/>
        </w:rPr>
        <w:t>most</w:t>
      </w:r>
      <w:r w:rsidRPr="00925CCD">
        <w:rPr>
          <w:lang w:val="en-GB"/>
        </w:rPr>
        <w:t xml:space="preserve"> AD patients</w:t>
      </w:r>
      <w:r w:rsidR="001B3D8C">
        <w:rPr>
          <w:lang w:val="en-GB"/>
        </w:rPr>
        <w:t xml:space="preserve">, </w:t>
      </w:r>
      <w:r w:rsidRPr="00925CCD">
        <w:rPr>
          <w:lang w:val="en-GB"/>
        </w:rPr>
        <w:t>a systematic flaw that contributes to the well-documented crisis of clinical translation [1]. Our data demonstrate that a compound showing robust neuroprotection in males can be substantially less effective in females due to a specific, druggable pharmacokinetic barrier: FAAH hyperactivity. This is not a blanket therapeutic failure but rather a targetable mechanism of resistance, suggesting that female AD patients may benefit from combination therapies incorporating FAAH inhibitors [8</w:t>
      </w:r>
      <w:r w:rsidR="006A2CED">
        <w:rPr>
          <w:lang w:val="en-GB"/>
        </w:rPr>
        <w:t>,9</w:t>
      </w:r>
      <w:r w:rsidRPr="00925CCD">
        <w:rPr>
          <w:lang w:val="en-GB"/>
        </w:rPr>
        <w:t xml:space="preserve">] or from ultramicronized PEA </w:t>
      </w:r>
      <w:r w:rsidR="00303789">
        <w:rPr>
          <w:lang w:val="en-GB"/>
        </w:rPr>
        <w:t>(</w:t>
      </w:r>
      <w:r w:rsidR="00303789" w:rsidRPr="0067329B">
        <w:rPr>
          <w:lang w:val="en-US"/>
        </w:rPr>
        <w:t>UM-PEA</w:t>
      </w:r>
      <w:r w:rsidR="00303789">
        <w:rPr>
          <w:lang w:val="en-US"/>
        </w:rPr>
        <w:t xml:space="preserve">) </w:t>
      </w:r>
      <w:r w:rsidRPr="00925CCD">
        <w:rPr>
          <w:lang w:val="en-GB"/>
        </w:rPr>
        <w:t>formulations with enhanced bioavailability</w:t>
      </w:r>
      <w:r w:rsidR="006A2CED">
        <w:rPr>
          <w:lang w:val="en-GB"/>
        </w:rPr>
        <w:t xml:space="preserve"> [10]</w:t>
      </w:r>
      <w:r w:rsidR="001B3D8C">
        <w:rPr>
          <w:lang w:val="en-GB"/>
        </w:rPr>
        <w:t xml:space="preserve">. </w:t>
      </w:r>
    </w:p>
    <w:p w14:paraId="1D158B76" w14:textId="1CABE1CF" w:rsidR="004F52FC" w:rsidRDefault="00000000" w:rsidP="00A045EB">
      <w:pPr>
        <w:spacing w:after="200" w:line="480" w:lineRule="auto"/>
        <w:ind w:firstLine="708"/>
        <w:jc w:val="both"/>
        <w:rPr>
          <w:lang w:val="en-GB"/>
        </w:rPr>
      </w:pPr>
      <w:r w:rsidRPr="00925CCD">
        <w:rPr>
          <w:lang w:val="en-GB"/>
        </w:rPr>
        <w:lastRenderedPageBreak/>
        <w:t>In summary, sex-dependent FAAH hyperactivity substantially attenuates PEA neuroprotection in female Tg2576 mice. Our findings mandate the routine inclusion of both sexes in preclinical AD studies, identify FAAH inhibition as a rational co-therapeutic strategy for female patients, and underscore the broader principle that pharmacological sex differences must be addressed at the preclinical stage to avoid propagating ineffective therapies into clinical trials.</w:t>
      </w:r>
    </w:p>
    <w:p w14:paraId="32F3266C" w14:textId="00BF1DFB" w:rsidR="00BF2797" w:rsidRPr="00925CCD" w:rsidRDefault="00FF51B9" w:rsidP="004F52FC">
      <w:pPr>
        <w:ind w:left="-851"/>
        <w:jc w:val="center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EEDD5B0" wp14:editId="04486787">
            <wp:extent cx="6781800" cy="9589643"/>
            <wp:effectExtent l="0" t="0" r="0" b="0"/>
            <wp:docPr id="17232828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284" name="Immagine 172328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948" cy="96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CCD">
        <w:rPr>
          <w:lang w:val="en-GB"/>
        </w:rPr>
        <w:br w:type="page"/>
      </w:r>
    </w:p>
    <w:p w14:paraId="22421EFE" w14:textId="4E4B3D36" w:rsidR="004F52FC" w:rsidRDefault="004F52FC" w:rsidP="008209EC">
      <w:pPr>
        <w:spacing w:before="240" w:after="240"/>
        <w:jc w:val="both"/>
        <w:rPr>
          <w:sz w:val="22"/>
          <w:szCs w:val="22"/>
          <w:lang w:val="en-GB"/>
        </w:rPr>
      </w:pPr>
      <w:r w:rsidRPr="004F52FC">
        <w:rPr>
          <w:b/>
          <w:bCs/>
          <w:sz w:val="22"/>
          <w:szCs w:val="22"/>
          <w:lang w:val="en-GB"/>
        </w:rPr>
        <w:lastRenderedPageBreak/>
        <w:t>Figure 1. Chronic PEA treatment shows attenuated efficacy in female Tg2576 mice, associated with constitutively elevated hippocampal FAAH expression.</w:t>
      </w:r>
      <w:r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A</w:t>
      </w:r>
      <w:r w:rsidRPr="004F52FC">
        <w:rPr>
          <w:sz w:val="22"/>
          <w:szCs w:val="22"/>
          <w:lang w:val="en-GB"/>
        </w:rPr>
        <w:t>) Novel Object Recognition Test (NORT). Novelty Preference Index expressed as percentage of same-sex wild-type (WT) vehicle group mean. Dashed line indicates 100% (WT vehicle reference level). Males: WT Veh (n = 8), WT PEA (n = 11), Tg2576 Veh (n = 8), Tg2576 PEA (n = 10). Females: WT Veh (n = 9), WT PEA (n = 7), Tg2576 Veh (n = 12), Tg2576 PEA (n = 12). Male p-values are from the published dataset [6]. Two-way ANOVA (genotype × treatment) with Tukey post-hoc test.</w:t>
      </w:r>
      <w:r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B</w:t>
      </w:r>
      <w:r w:rsidRPr="004F52FC">
        <w:rPr>
          <w:sz w:val="22"/>
          <w:szCs w:val="22"/>
          <w:lang w:val="en-GB"/>
        </w:rPr>
        <w:t>) Apical dendritic spine density of hippocampal CA1 pyramidal neurons, expressed as percentage of same-sex WT vehicle group mean. n = 20 dendritic segments per group (2 mice × 10 neurons). Male p-values from [6]. Two-way ANOVA with Tukey post-hoc test.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C</w:t>
      </w:r>
      <w:r w:rsidRPr="004F52FC">
        <w:rPr>
          <w:sz w:val="22"/>
          <w:szCs w:val="22"/>
          <w:lang w:val="en-GB"/>
        </w:rPr>
        <w:t>) Basal dendritic spine density of hippocampal CA1 pyramidal neurons, expressed as percentage of same-sex WT vehicle group mean. n = 19–20 dendritic segments per group. Male p-values from [6]. Two-way ANOVA with Tukey post-hoc test.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D</w:t>
      </w:r>
      <w:r w:rsidRPr="004F52FC">
        <w:rPr>
          <w:sz w:val="22"/>
          <w:szCs w:val="22"/>
          <w:lang w:val="en-GB"/>
        </w:rPr>
        <w:t>) Hippocampal 3-nitrotyrosine (3-NT) immunoreactivity (ng/ml) in Tg2576 mice only. Males: Tg2576 Veh (n = 6), Tg2576 PEA (n = 6). Females: Tg2576 Veh (n = 6), Tg2576 PEA (n = 6). Unpaired t-test.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E</w:t>
      </w:r>
      <w:r w:rsidRPr="004F52FC">
        <w:rPr>
          <w:sz w:val="22"/>
          <w:szCs w:val="22"/>
          <w:lang w:val="en-GB"/>
        </w:rPr>
        <w:t>) FAAH mRNA expression (relative to housekeeping gene) in hippocampal tissue from male and female Tg2576 mice (n = 6 per sex). Mann-Whitney U test.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F</w:t>
      </w:r>
      <w:r w:rsidRPr="004F52FC">
        <w:rPr>
          <w:sz w:val="22"/>
          <w:szCs w:val="22"/>
          <w:lang w:val="en-GB"/>
        </w:rPr>
        <w:t xml:space="preserve">) FAAH protein levels (normalized densitometric values) in hippocampal extracts from male and female Tg2576 mice (n = 6 per sex). </w:t>
      </w:r>
      <w:r w:rsidRPr="004F52FC">
        <w:rPr>
          <w:sz w:val="22"/>
          <w:szCs w:val="22"/>
        </w:rPr>
        <w:t>β</w:t>
      </w:r>
      <w:r w:rsidRPr="004F52FC">
        <w:rPr>
          <w:sz w:val="22"/>
          <w:szCs w:val="22"/>
          <w:lang w:val="en-GB"/>
        </w:rPr>
        <w:t>-actin was used as loading control. Unpaired t-test.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G</w:t>
      </w:r>
      <w:r w:rsidRPr="004F52FC">
        <w:rPr>
          <w:sz w:val="22"/>
          <w:szCs w:val="22"/>
          <w:lang w:val="en-GB"/>
        </w:rPr>
        <w:t xml:space="preserve">) Representative Western blot of FAAH (63 kDa) and </w:t>
      </w:r>
      <w:r w:rsidRPr="004F52FC">
        <w:rPr>
          <w:sz w:val="22"/>
          <w:szCs w:val="22"/>
        </w:rPr>
        <w:t>β</w:t>
      </w:r>
      <w:r w:rsidRPr="004F52FC">
        <w:rPr>
          <w:sz w:val="22"/>
          <w:szCs w:val="22"/>
          <w:lang w:val="en-GB"/>
        </w:rPr>
        <w:t>-actin (46 kDa) in hippocampal extracts from Tg2576 females (left) and Tg2576 males (right).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(</w:t>
      </w:r>
      <w:r w:rsidRPr="004F52FC">
        <w:rPr>
          <w:b/>
          <w:bCs/>
          <w:sz w:val="22"/>
          <w:szCs w:val="22"/>
          <w:lang w:val="en-GB"/>
        </w:rPr>
        <w:t>H</w:t>
      </w:r>
      <w:r w:rsidRPr="004F52FC">
        <w:rPr>
          <w:sz w:val="22"/>
          <w:szCs w:val="22"/>
          <w:lang w:val="en-GB"/>
        </w:rPr>
        <w:t>) FAAH enzymatic activity (pmol/min/mg protein) in hippocampal homogenates from male and female Tg2576 mice (n = 4 per sex). Unpaired t-test.</w:t>
      </w:r>
      <w:r w:rsidR="008209EC">
        <w:rPr>
          <w:b/>
          <w:bCs/>
          <w:sz w:val="22"/>
          <w:szCs w:val="22"/>
          <w:lang w:val="en-GB"/>
        </w:rPr>
        <w:t xml:space="preserve"> </w:t>
      </w:r>
      <w:r w:rsidRPr="004F52FC">
        <w:rPr>
          <w:sz w:val="22"/>
          <w:szCs w:val="22"/>
          <w:lang w:val="en-GB"/>
        </w:rPr>
        <w:t>In panels A–C, data from males (dark blue-grey dots) and females (dark red dots) are each normalized to their respective same-sex WT vehicle group mean to enable within-sex evaluation of treatment effects; direct cross-sex comparisons of absolute values are not intended. Boxplots display median (horizontal line), interquartile range (box), and whiskers extending to 1.5× IQR. Individual data points are shown as scatter overlay. *p &lt; 0.05; **p &lt; 0.01; ***p &lt; 0.001; ns, not significant.</w:t>
      </w:r>
    </w:p>
    <w:p w14:paraId="6838CC0F" w14:textId="77777777" w:rsidR="00DD0ADD" w:rsidRPr="004F52FC" w:rsidRDefault="00DD0ADD" w:rsidP="008209EC">
      <w:pPr>
        <w:spacing w:before="240" w:after="240"/>
        <w:jc w:val="both"/>
        <w:rPr>
          <w:b/>
          <w:bCs/>
          <w:sz w:val="22"/>
          <w:szCs w:val="22"/>
          <w:lang w:val="en-GB"/>
        </w:rPr>
      </w:pPr>
    </w:p>
    <w:p w14:paraId="19E784E3" w14:textId="77777777" w:rsidR="00FF51B9" w:rsidRPr="001141BD" w:rsidRDefault="00FF51B9" w:rsidP="00FF51B9">
      <w:pPr>
        <w:pStyle w:val="Textbody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C4D4A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abbreviations</w:t>
      </w:r>
    </w:p>
    <w:p w14:paraId="08D4361F" w14:textId="67646971" w:rsidR="00DD0ADD" w:rsidRPr="00DD0ADD" w:rsidRDefault="00DD0ADD" w:rsidP="00FF51B9">
      <w:pPr>
        <w:pStyle w:val="Textbody"/>
        <w:spacing w:after="0" w:line="360" w:lineRule="auto"/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>NIH National Institutes of Health</w:t>
      </w:r>
    </w:p>
    <w:p w14:paraId="4BC95EFB" w14:textId="34B46D5C" w:rsidR="00DD0ADD" w:rsidRDefault="00FF51B9" w:rsidP="00FF51B9">
      <w:pPr>
        <w:pStyle w:val="Textbody"/>
        <w:spacing w:after="0" w:line="360" w:lineRule="auto"/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</w:pPr>
      <w:r w:rsidRPr="00986D38">
        <w:rPr>
          <w:rFonts w:ascii="Times New Roman" w:hAnsi="Times New Roman" w:cs="Times New Roman"/>
          <w:sz w:val="24"/>
          <w:szCs w:val="24"/>
          <w:lang w:val="en-US"/>
        </w:rPr>
        <w:t>AD Alzheimer’s</w:t>
      </w:r>
      <w:r w:rsidRPr="00986D38"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 xml:space="preserve"> disease</w:t>
      </w:r>
      <w:r w:rsidR="00DD0ADD"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 xml:space="preserve"> </w:t>
      </w:r>
    </w:p>
    <w:p w14:paraId="294071B7" w14:textId="77777777" w:rsidR="00FF51B9" w:rsidRDefault="00FF51B9" w:rsidP="00FF51B9">
      <w:pPr>
        <w:pStyle w:val="Textbody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86D38"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 xml:space="preserve">PEA </w:t>
      </w:r>
      <w:r w:rsidRPr="00986D38">
        <w:rPr>
          <w:rFonts w:ascii="Times New Roman" w:hAnsi="Times New Roman" w:cs="Times New Roman"/>
          <w:color w:val="000000"/>
          <w:sz w:val="24"/>
          <w:szCs w:val="24"/>
          <w:lang w:val="en-US"/>
        </w:rPr>
        <w:t>Palmitoylethanolamide</w:t>
      </w:r>
    </w:p>
    <w:p w14:paraId="5FBEC153" w14:textId="77777777" w:rsidR="00DD0ADD" w:rsidRPr="006B4398" w:rsidRDefault="00DD0ADD" w:rsidP="00DD0ADD">
      <w:pPr>
        <w:pStyle w:val="Standard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NOR </w:t>
      </w:r>
      <w:r w:rsidRPr="00F94BEA">
        <w:rPr>
          <w:rFonts w:ascii="Times New Roman" w:hAnsi="Times New Roman" w:cs="Times New Roman"/>
          <w:sz w:val="24"/>
          <w:szCs w:val="24"/>
          <w:lang w:val="en-US"/>
        </w:rPr>
        <w:t>Novel Object Recognition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337A25" w14:textId="77777777" w:rsidR="00DD0ADD" w:rsidRDefault="00DD0ADD" w:rsidP="00DD0ADD">
      <w:pPr>
        <w:pStyle w:val="Standard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3-NT 3-Nitrotyrosine </w:t>
      </w:r>
    </w:p>
    <w:p w14:paraId="6CE31C3A" w14:textId="03F2035C" w:rsidR="00DD0ADD" w:rsidRPr="00DD0ADD" w:rsidRDefault="00DD0ADD" w:rsidP="00FF51B9">
      <w:pPr>
        <w:pStyle w:val="Textbody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FAAH </w:t>
      </w:r>
      <w:r w:rsidRPr="00DD0ADD">
        <w:rPr>
          <w:rFonts w:ascii="Times New Roman" w:hAnsi="Times New Roman" w:cs="Times New Roman"/>
          <w:color w:val="000000"/>
          <w:sz w:val="24"/>
          <w:szCs w:val="24"/>
          <w:lang w:val="en-GB"/>
        </w:rPr>
        <w:t>Fatty Acid Amide Hydrolase</w:t>
      </w:r>
    </w:p>
    <w:p w14:paraId="2C5B6A41" w14:textId="77777777" w:rsidR="00FF51B9" w:rsidRDefault="00FF51B9" w:rsidP="00FF51B9">
      <w:pPr>
        <w:pStyle w:val="Textbody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4BEA">
        <w:rPr>
          <w:rFonts w:ascii="Times New Roman" w:hAnsi="Times New Roman" w:cs="Times New Roman"/>
          <w:sz w:val="24"/>
          <w:szCs w:val="24"/>
          <w:lang w:val="en-US"/>
        </w:rPr>
        <w:t>WT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Wild type</w:t>
      </w:r>
    </w:p>
    <w:p w14:paraId="731DBF3A" w14:textId="27C74BD3" w:rsidR="00DD0ADD" w:rsidRDefault="00DD0ADD" w:rsidP="00FF51B9">
      <w:pPr>
        <w:pStyle w:val="Textbody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ADD">
        <w:rPr>
          <w:rFonts w:ascii="Times New Roman" w:hAnsi="Times New Roman" w:cs="Times New Roman"/>
          <w:sz w:val="24"/>
          <w:szCs w:val="24"/>
          <w:lang w:val="en-US"/>
        </w:rPr>
        <w:t>ERα α-adrenergic receptors</w:t>
      </w:r>
    </w:p>
    <w:p w14:paraId="4E0EA620" w14:textId="00D27BF6" w:rsidR="00DD0ADD" w:rsidRDefault="00DD0ADD" w:rsidP="00FF51B9">
      <w:pPr>
        <w:pStyle w:val="Textbody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0ADD">
        <w:rPr>
          <w:rFonts w:ascii="Times New Roman" w:hAnsi="Times New Roman" w:cs="Times New Roman"/>
          <w:sz w:val="24"/>
          <w:szCs w:val="24"/>
          <w:lang w:val="en-US"/>
        </w:rPr>
        <w:t>Erβ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ADD">
        <w:rPr>
          <w:rFonts w:ascii="Times New Roman" w:hAnsi="Times New Roman" w:cs="Times New Roman"/>
          <w:sz w:val="24"/>
          <w:szCs w:val="24"/>
          <w:lang w:val="en-US"/>
        </w:rPr>
        <w:t>β-adrenergic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0ADD">
        <w:rPr>
          <w:rFonts w:ascii="Times New Roman" w:hAnsi="Times New Roman" w:cs="Times New Roman"/>
          <w:sz w:val="24"/>
          <w:szCs w:val="24"/>
          <w:lang w:val="en-US"/>
        </w:rPr>
        <w:t>receptors</w:t>
      </w:r>
    </w:p>
    <w:p w14:paraId="0CE400E8" w14:textId="48D1CB1B" w:rsidR="00DD0ADD" w:rsidRPr="0043377D" w:rsidRDefault="00DD0ADD" w:rsidP="00FF51B9">
      <w:pPr>
        <w:pStyle w:val="Textbody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3377D">
        <w:rPr>
          <w:rFonts w:ascii="Times New Roman" w:hAnsi="Times New Roman" w:cs="Times New Roman"/>
          <w:sz w:val="24"/>
          <w:szCs w:val="24"/>
          <w:lang w:val="en-GB"/>
        </w:rPr>
        <w:t>NAAA N-acylethanolamine acid amidase</w:t>
      </w:r>
    </w:p>
    <w:p w14:paraId="4A080286" w14:textId="77777777" w:rsidR="00FF51B9" w:rsidRPr="0043377D" w:rsidRDefault="00FF51B9" w:rsidP="00FF51B9">
      <w:pPr>
        <w:pStyle w:val="Textbody"/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3377D">
        <w:rPr>
          <w:rFonts w:ascii="Times New Roman" w:hAnsi="Times New Roman" w:cs="Times New Roman"/>
          <w:sz w:val="24"/>
          <w:szCs w:val="24"/>
          <w:lang w:val="en-GB"/>
        </w:rPr>
        <w:t xml:space="preserve">UM-PEA Ultra-micronized palmitoylethanolamide </w:t>
      </w:r>
    </w:p>
    <w:p w14:paraId="3221F0BD" w14:textId="77777777" w:rsidR="00DD0ADD" w:rsidRPr="0043377D" w:rsidRDefault="00DD0ADD" w:rsidP="00FF51B9">
      <w:pPr>
        <w:pStyle w:val="Textbody"/>
        <w:rPr>
          <w:rFonts w:ascii="Times New Roman" w:hAnsi="Times New Roman" w:cs="Times New Roman"/>
          <w:b/>
          <w:bCs/>
          <w:kern w:val="0"/>
          <w:sz w:val="32"/>
          <w:szCs w:val="32"/>
          <w:lang w:val="en-GB"/>
        </w:rPr>
      </w:pPr>
    </w:p>
    <w:p w14:paraId="75F85052" w14:textId="77777777" w:rsidR="00DD0ADD" w:rsidRDefault="00DD0ADD" w:rsidP="00FF51B9">
      <w:pPr>
        <w:pStyle w:val="Textbody"/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14:paraId="54D812B2" w14:textId="77777777" w:rsidR="00DD0ADD" w:rsidRDefault="00DD0ADD" w:rsidP="00FF51B9">
      <w:pPr>
        <w:pStyle w:val="Textbody"/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14:paraId="01B85D75" w14:textId="522E49F5" w:rsidR="00FF51B9" w:rsidRDefault="00FF51B9" w:rsidP="00FF51B9">
      <w:pPr>
        <w:pStyle w:val="Textbody"/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67329B">
        <w:rPr>
          <w:rFonts w:ascii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>Acknowledgements</w:t>
      </w:r>
    </w:p>
    <w:p w14:paraId="18E5F83F" w14:textId="4A629618" w:rsidR="00FF51B9" w:rsidRDefault="00FF51B9" w:rsidP="00FF51B9">
      <w:pPr>
        <w:pStyle w:val="Textbody"/>
        <w:rPr>
          <w:rFonts w:ascii="Times New Roman" w:hAnsi="Times New Roman" w:cs="Times New Roman"/>
          <w:sz w:val="24"/>
          <w:szCs w:val="24"/>
          <w:lang w:val="en-US"/>
        </w:rPr>
      </w:pPr>
      <w:r w:rsidRPr="005C333B">
        <w:rPr>
          <w:rFonts w:ascii="Times New Roman" w:hAnsi="Times New Roman" w:cs="Times New Roman"/>
          <w:sz w:val="24"/>
          <w:szCs w:val="24"/>
          <w:lang w:val="en-US"/>
        </w:rPr>
        <w:t>We would like to thank</w:t>
      </w:r>
      <w:r w:rsidR="00CA7D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Eugenia Landolfo for her help in managing experimental animals</w:t>
      </w:r>
      <w:r w:rsidR="00012191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  <w:r w:rsidRPr="005C333B">
        <w:rPr>
          <w:rFonts w:ascii="Times New Roman" w:hAnsi="Times New Roman" w:cs="Times New Roman"/>
          <w:sz w:val="24"/>
          <w:szCs w:val="24"/>
          <w:lang w:val="en-US"/>
        </w:rPr>
        <w:t xml:space="preserve"> Dr. Annarita Wirtz and the entire animal facility staff at the Santa Lucia Foundation for their contributions to animal husbandry. </w:t>
      </w:r>
    </w:p>
    <w:p w14:paraId="0F671834" w14:textId="77777777" w:rsidR="00DD0ADD" w:rsidRDefault="00DD0ADD" w:rsidP="00FF51B9">
      <w:pPr>
        <w:pStyle w:val="Textbody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7138D8" w14:textId="5B1D5588" w:rsidR="00FF51B9" w:rsidRDefault="00FF51B9" w:rsidP="00FF51B9">
      <w:pPr>
        <w:pStyle w:val="Textbody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4D4A">
        <w:rPr>
          <w:rFonts w:ascii="Times New Roman" w:hAnsi="Times New Roman" w:cs="Times New Roman"/>
          <w:b/>
          <w:bCs/>
          <w:sz w:val="32"/>
          <w:szCs w:val="32"/>
          <w:lang w:val="en-US"/>
        </w:rPr>
        <w:t>Authors’ contributions</w:t>
      </w:r>
    </w:p>
    <w:p w14:paraId="3835A254" w14:textId="7FFFCAE8" w:rsidR="00FF51B9" w:rsidRPr="00280BCE" w:rsidRDefault="00FF51B9" w:rsidP="00FF51B9">
      <w:pPr>
        <w:pStyle w:val="Textbody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DT oversaw and performed molecular, biochemical and statistical analyses; 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AP and </w:t>
      </w: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DD oversaw and performed behavioral, histological </w:t>
      </w:r>
      <w:r w:rsidR="007B0ACE"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>and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7B0ACE"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>dendritic spines analyses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r w:rsidR="007B0ACE"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>D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>T,</w:t>
      </w: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RC, </w:t>
      </w: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SO, LP and MM conceived and oversaw all aspects of the study;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LS and FC performed molecular and biochemical analyses; GG </w:t>
      </w: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>conducted all procedures on the mouse model including genotyping and sample collection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r w:rsidR="005C413A">
        <w:rPr>
          <w:rFonts w:ascii="Times New Roman" w:hAnsi="Times New Roman" w:cs="Times New Roman"/>
          <w:color w:val="000000"/>
          <w:sz w:val="24"/>
          <w:szCs w:val="24"/>
          <w:lang w:val="en-US"/>
        </w:rPr>
        <w:t>DC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oversaw and contributed to the acquisition and analyses of behavioral data; DT, </w:t>
      </w:r>
      <w:r w:rsidR="007B0AC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RC, </w:t>
      </w:r>
      <w:r w:rsidRPr="00B808FF">
        <w:rPr>
          <w:rFonts w:ascii="Times New Roman" w:hAnsi="Times New Roman" w:cs="Times New Roman"/>
          <w:color w:val="000000"/>
          <w:sz w:val="24"/>
          <w:szCs w:val="24"/>
          <w:lang w:val="en-US"/>
        </w:rPr>
        <w:t>SO, LP and MM wrote the article. All authors revised and critically contributed to the final version of the manuscript.</w:t>
      </w:r>
    </w:p>
    <w:p w14:paraId="7CA15451" w14:textId="77777777" w:rsidR="00FF51B9" w:rsidRDefault="00FF51B9" w:rsidP="00FF51B9">
      <w:pPr>
        <w:pStyle w:val="Textbody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4D4A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Funding</w:t>
      </w:r>
    </w:p>
    <w:p w14:paraId="542CA587" w14:textId="77777777" w:rsidR="00FF51B9" w:rsidRPr="005C7560" w:rsidRDefault="00FF51B9" w:rsidP="00FF51B9">
      <w:pPr>
        <w:pStyle w:val="Textbody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2D2D"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>The work was supported by funding to</w:t>
      </w:r>
      <w:r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 xml:space="preserve"> </w:t>
      </w:r>
      <w:r w:rsidRPr="000D2D2D"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>Italian Ministry of Health</w:t>
      </w:r>
      <w:r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 xml:space="preserve"> </w:t>
      </w:r>
      <w:r w:rsidRPr="00E80BC4"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>through the competitive Ricerca Finalizzata 2018 [Grant RF-2018-12365391]</w:t>
      </w:r>
      <w:r>
        <w:rPr>
          <w:rFonts w:ascii="Times New Roman" w:eastAsia="MyriadPro-Light" w:hAnsi="Times New Roman" w:cs="Times New Roman"/>
          <w:kern w:val="0"/>
          <w:sz w:val="24"/>
          <w:szCs w:val="24"/>
          <w:lang w:val="en-US"/>
        </w:rPr>
        <w:t xml:space="preserve"> to MM.</w:t>
      </w:r>
    </w:p>
    <w:p w14:paraId="4FD720DB" w14:textId="77777777" w:rsidR="00FF51B9" w:rsidRPr="001C4D4A" w:rsidRDefault="00FF51B9" w:rsidP="00FF51B9">
      <w:pPr>
        <w:pStyle w:val="Textbody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4D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Data availability </w:t>
      </w:r>
    </w:p>
    <w:p w14:paraId="0B145238" w14:textId="77777777" w:rsidR="00FF51B9" w:rsidRPr="00DB2947" w:rsidRDefault="00FF51B9" w:rsidP="00FF51B9">
      <w:pPr>
        <w:pStyle w:val="Textbody"/>
        <w:rPr>
          <w:rFonts w:ascii="Times New Roman" w:hAnsi="Times New Roman" w:cs="Times New Roman"/>
          <w:sz w:val="24"/>
          <w:szCs w:val="24"/>
          <w:lang w:val="en-US"/>
        </w:rPr>
      </w:pPr>
      <w:r w:rsidRPr="005C7560">
        <w:rPr>
          <w:rFonts w:ascii="Times New Roman" w:hAnsi="Times New Roman" w:cs="Times New Roman"/>
          <w:sz w:val="24"/>
          <w:szCs w:val="24"/>
          <w:lang w:val="en-US"/>
        </w:rPr>
        <w:t>All data generated or analyzed during this study are included in this published article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A2EDF6" w14:textId="77777777" w:rsidR="00FF51B9" w:rsidRPr="002549B8" w:rsidRDefault="00FF51B9" w:rsidP="00FF51B9">
      <w:pPr>
        <w:pStyle w:val="Textbody"/>
        <w:rPr>
          <w:rFonts w:ascii="Times New Roman" w:hAnsi="Times New Roman" w:cs="Times New Roman"/>
          <w:sz w:val="24"/>
          <w:szCs w:val="24"/>
          <w:lang w:val="en-US"/>
        </w:rPr>
      </w:pPr>
      <w:r w:rsidRPr="001C4D4A">
        <w:rPr>
          <w:rFonts w:ascii="Times New Roman" w:hAnsi="Times New Roman" w:cs="Times New Roman"/>
          <w:b/>
          <w:bCs/>
          <w:sz w:val="32"/>
          <w:szCs w:val="32"/>
          <w:lang w:val="en-US"/>
        </w:rPr>
        <w:t>Declarations</w:t>
      </w:r>
    </w:p>
    <w:p w14:paraId="768FB202" w14:textId="77777777" w:rsidR="00FF51B9" w:rsidRPr="0052632B" w:rsidRDefault="00FF51B9" w:rsidP="00FF51B9">
      <w:pPr>
        <w:pStyle w:val="Textbody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63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Ethics approvals </w:t>
      </w:r>
    </w:p>
    <w:p w14:paraId="01ACE70C" w14:textId="77777777" w:rsidR="00FF51B9" w:rsidRPr="000B70D1" w:rsidRDefault="00FF51B9" w:rsidP="00FF51B9">
      <w:pPr>
        <w:pStyle w:val="Textbody"/>
        <w:rPr>
          <w:rFonts w:ascii="Times New Roman" w:hAnsi="Times New Roman" w:cs="Times New Roman"/>
          <w:sz w:val="24"/>
          <w:szCs w:val="24"/>
          <w:lang w:val="en-US"/>
        </w:rPr>
      </w:pPr>
      <w:r w:rsidRPr="00741BE9">
        <w:rPr>
          <w:rFonts w:ascii="Times New Roman" w:hAnsi="Times New Roman" w:cs="Times New Roman"/>
          <w:sz w:val="24"/>
          <w:szCs w:val="24"/>
          <w:lang w:val="en-US"/>
        </w:rPr>
        <w:t>Ethics approvals are in place for all the animal work carried out in this study.</w:t>
      </w:r>
    </w:p>
    <w:p w14:paraId="612875A0" w14:textId="77777777" w:rsidR="00FF51B9" w:rsidRPr="0052632B" w:rsidRDefault="00FF51B9" w:rsidP="00FF51B9">
      <w:pPr>
        <w:pStyle w:val="Textbody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632B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Competing interests</w:t>
      </w:r>
    </w:p>
    <w:p w14:paraId="683552CB" w14:textId="77777777" w:rsidR="00FF51B9" w:rsidRDefault="00FF51B9" w:rsidP="00FF51B9">
      <w:pPr>
        <w:pStyle w:val="Textbody"/>
        <w:rPr>
          <w:rFonts w:ascii="Times New Roman" w:hAnsi="Times New Roman" w:cs="Times New Roman"/>
          <w:sz w:val="24"/>
          <w:szCs w:val="24"/>
          <w:lang w:val="en-US"/>
        </w:rPr>
      </w:pPr>
      <w:r w:rsidRPr="001D12AB">
        <w:rPr>
          <w:rFonts w:ascii="Times New Roman" w:hAnsi="Times New Roman" w:cs="Times New Roman"/>
          <w:sz w:val="24"/>
          <w:szCs w:val="24"/>
          <w:lang w:val="en-US"/>
        </w:rPr>
        <w:t>The authors have no conflicts of interest to declare. All co-authors have seen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2AB">
        <w:rPr>
          <w:rFonts w:ascii="Times New Roman" w:hAnsi="Times New Roman" w:cs="Times New Roman"/>
          <w:sz w:val="24"/>
          <w:szCs w:val="24"/>
          <w:lang w:val="en-US"/>
        </w:rPr>
        <w:t>and agree with the contents of the manuscript and there is no financial interest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2AB">
        <w:rPr>
          <w:rFonts w:ascii="Times New Roman" w:hAnsi="Times New Roman" w:cs="Times New Roman"/>
          <w:sz w:val="24"/>
          <w:szCs w:val="24"/>
          <w:lang w:val="en-US"/>
        </w:rPr>
        <w:t>to report. We certify that the submission is original work and is not under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2AB">
        <w:rPr>
          <w:rFonts w:ascii="Times New Roman" w:hAnsi="Times New Roman" w:cs="Times New Roman"/>
          <w:sz w:val="24"/>
          <w:szCs w:val="24"/>
          <w:lang w:val="en-US"/>
        </w:rPr>
        <w:t>review at any other publication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B61427" w14:textId="77777777" w:rsidR="00FF51B9" w:rsidRDefault="00FF51B9" w:rsidP="00FF51B9">
      <w:pPr>
        <w:pStyle w:val="Textbody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0B70D1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Consent for publication</w:t>
      </w:r>
    </w:p>
    <w:p w14:paraId="44301746" w14:textId="77777777" w:rsidR="00FF51B9" w:rsidRDefault="00FF51B9" w:rsidP="00FF51B9">
      <w:pPr>
        <w:pStyle w:val="Textbody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0B70D1">
        <w:rPr>
          <w:rFonts w:ascii="Times New Roman" w:hAnsi="Times New Roman" w:cs="Times New Roman"/>
          <w:kern w:val="0"/>
          <w:sz w:val="24"/>
          <w:szCs w:val="24"/>
          <w:lang w:val="en-US"/>
        </w:rPr>
        <w:t>Not applicable.</w:t>
      </w:r>
    </w:p>
    <w:p w14:paraId="51E89127" w14:textId="77777777" w:rsidR="004F52FC" w:rsidRPr="00FF51B9" w:rsidRDefault="004F52FC">
      <w:pPr>
        <w:spacing w:before="240" w:after="240"/>
        <w:rPr>
          <w:b/>
          <w:bCs/>
          <w:lang w:val="en-US"/>
        </w:rPr>
      </w:pPr>
    </w:p>
    <w:p w14:paraId="14F513AE" w14:textId="77777777" w:rsidR="008209EC" w:rsidRDefault="008209EC">
      <w:pPr>
        <w:spacing w:before="240" w:after="240"/>
        <w:rPr>
          <w:b/>
          <w:bCs/>
          <w:lang w:val="en-GB"/>
        </w:rPr>
      </w:pPr>
    </w:p>
    <w:p w14:paraId="4B55FC20" w14:textId="77777777" w:rsidR="008209EC" w:rsidRDefault="008209EC">
      <w:pPr>
        <w:spacing w:before="240" w:after="240"/>
        <w:rPr>
          <w:b/>
          <w:bCs/>
          <w:lang w:val="en-GB"/>
        </w:rPr>
      </w:pPr>
    </w:p>
    <w:p w14:paraId="3ACB7EA8" w14:textId="77777777" w:rsidR="00280BCE" w:rsidRDefault="00280BCE">
      <w:pPr>
        <w:spacing w:before="240" w:after="240"/>
        <w:rPr>
          <w:b/>
          <w:bCs/>
          <w:lang w:val="en-GB"/>
        </w:rPr>
      </w:pPr>
    </w:p>
    <w:p w14:paraId="3515D786" w14:textId="04E0AFF8" w:rsidR="00BF2797" w:rsidRPr="001E23E4" w:rsidRDefault="00000000">
      <w:pPr>
        <w:spacing w:before="240" w:after="240"/>
        <w:rPr>
          <w:lang w:val="en-GB"/>
        </w:rPr>
      </w:pPr>
      <w:r w:rsidRPr="001E23E4">
        <w:rPr>
          <w:b/>
          <w:bCs/>
          <w:lang w:val="en-GB"/>
        </w:rPr>
        <w:lastRenderedPageBreak/>
        <w:t>References</w:t>
      </w:r>
    </w:p>
    <w:p w14:paraId="21FA04CD" w14:textId="77777777" w:rsidR="00BF2797" w:rsidRPr="001E23E4" w:rsidRDefault="00000000" w:rsidP="00523C97">
      <w:pPr>
        <w:spacing w:after="120"/>
        <w:jc w:val="both"/>
        <w:rPr>
          <w:lang w:val="en-GB"/>
        </w:rPr>
      </w:pPr>
      <w:r w:rsidRPr="001E23E4">
        <w:rPr>
          <w:lang w:val="en-GB"/>
        </w:rPr>
        <w:t>1. Shansky RM, Murphy AZ. Considering sex as a biological variable will require a global shift in science culture. Nat Neurosci. 2021;24(4):457–464.</w:t>
      </w:r>
    </w:p>
    <w:p w14:paraId="0F96ED24" w14:textId="77777777" w:rsidR="00BF2797" w:rsidRPr="001E23E4" w:rsidRDefault="00000000" w:rsidP="00523C97">
      <w:pPr>
        <w:spacing w:after="120"/>
        <w:jc w:val="both"/>
        <w:rPr>
          <w:lang w:val="en-GB"/>
        </w:rPr>
      </w:pPr>
      <w:r w:rsidRPr="001E23E4">
        <w:rPr>
          <w:lang w:val="en-GB"/>
        </w:rPr>
        <w:t>2. Karp NA, Reavey N. Sex bias in preclinical research and an exploration of how to change the status quo. Br J Pharmacol. 2019;176(21):4107–4118.</w:t>
      </w:r>
    </w:p>
    <w:p w14:paraId="2C142830" w14:textId="77777777" w:rsidR="00BF2797" w:rsidRPr="001E23E4" w:rsidRDefault="00000000" w:rsidP="00523C97">
      <w:pPr>
        <w:spacing w:after="120"/>
        <w:jc w:val="both"/>
        <w:rPr>
          <w:lang w:val="en-GB"/>
        </w:rPr>
      </w:pPr>
      <w:r w:rsidRPr="001E23E4">
        <w:rPr>
          <w:lang w:val="en-GB"/>
        </w:rPr>
        <w:t>3. Clayton JA, Collins FS. Policy: NIH to balance sex in cell and animal studies. Nature. 2014;509(7500):282–283.</w:t>
      </w:r>
    </w:p>
    <w:p w14:paraId="1C56966D" w14:textId="77777777" w:rsidR="00BF2797" w:rsidRPr="001E23E4" w:rsidRDefault="00000000" w:rsidP="00523C97">
      <w:pPr>
        <w:spacing w:after="120"/>
        <w:jc w:val="both"/>
        <w:rPr>
          <w:lang w:val="en-GB"/>
        </w:rPr>
      </w:pPr>
      <w:r w:rsidRPr="001E23E4">
        <w:rPr>
          <w:lang w:val="en-GB"/>
        </w:rPr>
        <w:t>4. Pape M, et al. Sex contextualism in laboratory research: enhancing rigor and precision in the study of sex-related variables. Cell. 2024;187(6):1316–1326.</w:t>
      </w:r>
    </w:p>
    <w:p w14:paraId="40D59709" w14:textId="77777777" w:rsidR="00BF2797" w:rsidRPr="002E47CB" w:rsidRDefault="00000000" w:rsidP="00523C97">
      <w:pPr>
        <w:spacing w:after="120"/>
        <w:jc w:val="both"/>
      </w:pPr>
      <w:r w:rsidRPr="001E23E4">
        <w:rPr>
          <w:lang w:val="en-GB"/>
        </w:rPr>
        <w:t xml:space="preserve">5. Nebel RA, Aggarwal NT, Barnes LL, et al. Understanding the impact of sex and gender in Alzheimer’s disease: A call to action. </w:t>
      </w:r>
      <w:r w:rsidRPr="002E47CB">
        <w:t>Alzheimers Dement. 2018;14(9):1171–1183.</w:t>
      </w:r>
    </w:p>
    <w:p w14:paraId="3D070978" w14:textId="70FF7E60" w:rsidR="003151DE" w:rsidRPr="002E47CB" w:rsidRDefault="00000000" w:rsidP="00523C97">
      <w:pPr>
        <w:spacing w:after="120"/>
        <w:jc w:val="both"/>
        <w:rPr>
          <w:lang w:val="en-GB"/>
        </w:rPr>
      </w:pPr>
      <w:r w:rsidRPr="003151DE">
        <w:t>6.</w:t>
      </w:r>
      <w:r w:rsidR="003151DE" w:rsidRPr="003151DE">
        <w:t xml:space="preserve">Tortolani D, Decandia D, Giacovazzo G, et al. </w:t>
      </w:r>
      <w:r w:rsidR="003151DE" w:rsidRPr="003151DE">
        <w:rPr>
          <w:lang w:val="en-GB"/>
        </w:rPr>
        <w:t>Chronic palmitoylethanolamide</w:t>
      </w:r>
      <w:r w:rsidR="003151DE">
        <w:rPr>
          <w:lang w:val="en-GB"/>
        </w:rPr>
        <w:t xml:space="preserve"> </w:t>
      </w:r>
      <w:r w:rsidR="003151DE" w:rsidRPr="003151DE">
        <w:rPr>
          <w:lang w:val="en-GB"/>
        </w:rPr>
        <w:t xml:space="preserve">administration via slow-release subcutaneous pellets promotes neuroprotection and mitigates neuroinflammation in the Tg2576 mouse model of Alzheimer's disease. Front Cell Neurosci. 2025 Apr 17;19:1571428. </w:t>
      </w:r>
    </w:p>
    <w:p w14:paraId="48F7BC81" w14:textId="77777777" w:rsidR="00BF2797" w:rsidRPr="001E23E4" w:rsidRDefault="00000000" w:rsidP="00523C97">
      <w:pPr>
        <w:spacing w:after="120"/>
        <w:jc w:val="both"/>
      </w:pPr>
      <w:r w:rsidRPr="001E23E4">
        <w:rPr>
          <w:lang w:val="en-GB"/>
        </w:rPr>
        <w:t xml:space="preserve">7. Waleh NS, Cravatt BF, Bhatt DL, et al. Transcriptional regulation of the mouse fatty acid amide hydrolase gene. </w:t>
      </w:r>
      <w:r w:rsidRPr="001E23E4">
        <w:t>Gene. 2002;291(1–2):203–210.</w:t>
      </w:r>
    </w:p>
    <w:p w14:paraId="205F042B" w14:textId="578F490B" w:rsidR="00523C97" w:rsidRPr="001E23E4" w:rsidRDefault="00000000" w:rsidP="00523C97">
      <w:pPr>
        <w:spacing w:after="120"/>
        <w:jc w:val="both"/>
      </w:pPr>
      <w:r w:rsidRPr="001E23E4">
        <w:t>8. Piomelli D, Mabou Tagne A. Endocannabinoid-based therapies. Annu Rev Pharmacol Toxicol. 2022;62:483–507.</w:t>
      </w:r>
    </w:p>
    <w:p w14:paraId="2FB36BCF" w14:textId="77777777" w:rsidR="00BF2797" w:rsidRPr="001E23E4" w:rsidRDefault="00000000" w:rsidP="00523C97">
      <w:pPr>
        <w:spacing w:after="120"/>
        <w:jc w:val="both"/>
        <w:rPr>
          <w:lang w:val="en-GB"/>
        </w:rPr>
      </w:pPr>
      <w:r w:rsidRPr="001E23E4">
        <w:t xml:space="preserve">9. Maccarrone M, Di Marzo V, Gertsch J, et al. </w:t>
      </w:r>
      <w:r w:rsidRPr="001E23E4">
        <w:rPr>
          <w:lang w:val="en-GB"/>
        </w:rPr>
        <w:t>Goods and bads of the endocannabinoid system as a therapeutic target: lessons learned after 30 years. Pharmacol Rev. 2023;75(5):885–958.</w:t>
      </w:r>
    </w:p>
    <w:p w14:paraId="113BA0AB" w14:textId="2EF20A3B" w:rsidR="00BF2797" w:rsidRPr="001E23E4" w:rsidRDefault="00000000" w:rsidP="00523C97">
      <w:pPr>
        <w:spacing w:after="120"/>
        <w:jc w:val="both"/>
        <w:rPr>
          <w:lang w:val="en-GB"/>
        </w:rPr>
      </w:pPr>
      <w:r w:rsidRPr="001E23E4">
        <w:rPr>
          <w:lang w:val="en-GB"/>
        </w:rPr>
        <w:t>10.Kaczocha M, Glaser ST, Deutsch DG. Identification of intracellular carriers for the endocannabinoid anandamide. Proc Natl Acad Sci U S A. 2009;106(15):6375–6380.</w:t>
      </w:r>
    </w:p>
    <w:p w14:paraId="207C7AAD" w14:textId="6F3D7919" w:rsidR="00BF2797" w:rsidRPr="00925CCD" w:rsidRDefault="00BF2797">
      <w:pPr>
        <w:rPr>
          <w:lang w:val="en-GB"/>
        </w:rPr>
      </w:pPr>
    </w:p>
    <w:sectPr w:rsidR="00BF2797" w:rsidRPr="00925C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Pro-Light">
    <w:altName w:val="Yu Gothic"/>
    <w:panose1 w:val="020B0604020202020204"/>
    <w:charset w:val="80"/>
    <w:family w:val="swiss"/>
    <w:notTrueType/>
    <w:pitch w:val="default"/>
    <w:sig w:usb0="00000001" w:usb1="08070000" w:usb2="00000010" w:usb3="00000000" w:csb0="0002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1850"/>
    <w:multiLevelType w:val="hybridMultilevel"/>
    <w:tmpl w:val="CB1A37B6"/>
    <w:lvl w:ilvl="0" w:tplc="D45428C6">
      <w:start w:val="1"/>
      <w:numFmt w:val="bullet"/>
      <w:lvlText w:val="●"/>
      <w:lvlJc w:val="left"/>
      <w:pPr>
        <w:ind w:left="720" w:hanging="360"/>
      </w:pPr>
    </w:lvl>
    <w:lvl w:ilvl="1" w:tplc="8DE410D6">
      <w:start w:val="1"/>
      <w:numFmt w:val="bullet"/>
      <w:lvlText w:val="○"/>
      <w:lvlJc w:val="left"/>
      <w:pPr>
        <w:ind w:left="1440" w:hanging="360"/>
      </w:pPr>
    </w:lvl>
    <w:lvl w:ilvl="2" w:tplc="475E3F24">
      <w:start w:val="1"/>
      <w:numFmt w:val="bullet"/>
      <w:lvlText w:val="■"/>
      <w:lvlJc w:val="left"/>
      <w:pPr>
        <w:ind w:left="2160" w:hanging="360"/>
      </w:pPr>
    </w:lvl>
    <w:lvl w:ilvl="3" w:tplc="DCFE792C">
      <w:start w:val="1"/>
      <w:numFmt w:val="bullet"/>
      <w:lvlText w:val="●"/>
      <w:lvlJc w:val="left"/>
      <w:pPr>
        <w:ind w:left="2880" w:hanging="360"/>
      </w:pPr>
    </w:lvl>
    <w:lvl w:ilvl="4" w:tplc="039CC61E">
      <w:start w:val="1"/>
      <w:numFmt w:val="bullet"/>
      <w:lvlText w:val="○"/>
      <w:lvlJc w:val="left"/>
      <w:pPr>
        <w:ind w:left="3600" w:hanging="360"/>
      </w:pPr>
    </w:lvl>
    <w:lvl w:ilvl="5" w:tplc="F51244F2">
      <w:start w:val="1"/>
      <w:numFmt w:val="bullet"/>
      <w:lvlText w:val="■"/>
      <w:lvlJc w:val="left"/>
      <w:pPr>
        <w:ind w:left="4320" w:hanging="360"/>
      </w:pPr>
    </w:lvl>
    <w:lvl w:ilvl="6" w:tplc="6CC4F738">
      <w:start w:val="1"/>
      <w:numFmt w:val="bullet"/>
      <w:lvlText w:val="●"/>
      <w:lvlJc w:val="left"/>
      <w:pPr>
        <w:ind w:left="5040" w:hanging="360"/>
      </w:pPr>
    </w:lvl>
    <w:lvl w:ilvl="7" w:tplc="A72E43EC">
      <w:start w:val="1"/>
      <w:numFmt w:val="bullet"/>
      <w:lvlText w:val="●"/>
      <w:lvlJc w:val="left"/>
      <w:pPr>
        <w:ind w:left="5760" w:hanging="360"/>
      </w:pPr>
    </w:lvl>
    <w:lvl w:ilvl="8" w:tplc="1DB8616C">
      <w:start w:val="1"/>
      <w:numFmt w:val="bullet"/>
      <w:lvlText w:val="●"/>
      <w:lvlJc w:val="left"/>
      <w:pPr>
        <w:ind w:left="6480" w:hanging="360"/>
      </w:pPr>
    </w:lvl>
  </w:abstractNum>
  <w:num w:numId="1" w16cid:durableId="566649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97"/>
    <w:rsid w:val="00012191"/>
    <w:rsid w:val="000954DE"/>
    <w:rsid w:val="001917A7"/>
    <w:rsid w:val="001B301B"/>
    <w:rsid w:val="001B3D8C"/>
    <w:rsid w:val="001E23E4"/>
    <w:rsid w:val="001F60CD"/>
    <w:rsid w:val="002162E3"/>
    <w:rsid w:val="00225E7D"/>
    <w:rsid w:val="00243BAC"/>
    <w:rsid w:val="00280BCE"/>
    <w:rsid w:val="002E47CB"/>
    <w:rsid w:val="002F7F69"/>
    <w:rsid w:val="00303789"/>
    <w:rsid w:val="003151DE"/>
    <w:rsid w:val="003F2193"/>
    <w:rsid w:val="0043377D"/>
    <w:rsid w:val="00470B28"/>
    <w:rsid w:val="004A5F5E"/>
    <w:rsid w:val="004F52FC"/>
    <w:rsid w:val="00523C97"/>
    <w:rsid w:val="0058735E"/>
    <w:rsid w:val="005C413A"/>
    <w:rsid w:val="006709C6"/>
    <w:rsid w:val="006A2CED"/>
    <w:rsid w:val="006B4398"/>
    <w:rsid w:val="006E3C8E"/>
    <w:rsid w:val="007525F3"/>
    <w:rsid w:val="00752F86"/>
    <w:rsid w:val="007B0ACE"/>
    <w:rsid w:val="008209EC"/>
    <w:rsid w:val="00907F8A"/>
    <w:rsid w:val="009238C2"/>
    <w:rsid w:val="00925CCD"/>
    <w:rsid w:val="00A045EB"/>
    <w:rsid w:val="00A07292"/>
    <w:rsid w:val="00AC4667"/>
    <w:rsid w:val="00B11775"/>
    <w:rsid w:val="00B16438"/>
    <w:rsid w:val="00B54700"/>
    <w:rsid w:val="00BB0433"/>
    <w:rsid w:val="00BF2797"/>
    <w:rsid w:val="00C5254A"/>
    <w:rsid w:val="00C741F2"/>
    <w:rsid w:val="00C87D02"/>
    <w:rsid w:val="00CA7DBE"/>
    <w:rsid w:val="00D6452C"/>
    <w:rsid w:val="00D7642F"/>
    <w:rsid w:val="00DB773A"/>
    <w:rsid w:val="00DD0ADD"/>
    <w:rsid w:val="00DD23CB"/>
    <w:rsid w:val="00DF148A"/>
    <w:rsid w:val="00E2518B"/>
    <w:rsid w:val="00EB2963"/>
    <w:rsid w:val="00F668DE"/>
    <w:rsid w:val="00FF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65621"/>
  <w15:docId w15:val="{2443ED31-58E5-4B32-A539-64DABBF7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customStyle="1" w:styleId="Standard">
    <w:name w:val="Standard"/>
    <w:rsid w:val="00907F8A"/>
    <w:pPr>
      <w:suppressAutoHyphens/>
      <w:autoSpaceDN w:val="0"/>
      <w:spacing w:after="160" w:line="360" w:lineRule="auto"/>
      <w:jc w:val="both"/>
      <w:textAlignment w:val="baseline"/>
    </w:pPr>
    <w:rPr>
      <w:rFonts w:ascii="Aptos" w:eastAsia="Aptos" w:hAnsi="Aptos" w:cs="Tahoma"/>
      <w:kern w:val="3"/>
      <w:sz w:val="22"/>
      <w:szCs w:val="22"/>
      <w:lang w:eastAsia="en-US"/>
    </w:rPr>
  </w:style>
  <w:style w:type="paragraph" w:customStyle="1" w:styleId="Textbody">
    <w:name w:val="Text body"/>
    <w:basedOn w:val="Standard"/>
    <w:rsid w:val="00FF51B9"/>
    <w:pPr>
      <w:spacing w:after="14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84AF1-5B7C-4FB6-8DB3-78501F44F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2136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Oddi</cp:lastModifiedBy>
  <cp:revision>2</cp:revision>
  <dcterms:created xsi:type="dcterms:W3CDTF">2026-03-25T10:06:00Z</dcterms:created>
  <dcterms:modified xsi:type="dcterms:W3CDTF">2026-03-25T10:06:00Z</dcterms:modified>
</cp:coreProperties>
</file>