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99E0D" w14:textId="77777777" w:rsidR="00383CAB" w:rsidRPr="00BD3241" w:rsidRDefault="00000000">
      <w:pPr>
        <w:spacing w:after="100"/>
        <w:jc w:val="center"/>
        <w:rPr>
          <w:lang w:val="en-GB"/>
        </w:rPr>
      </w:pPr>
      <w:r w:rsidRPr="00BD3241">
        <w:rPr>
          <w:b/>
          <w:bCs/>
          <w:sz w:val="32"/>
          <w:szCs w:val="32"/>
          <w:lang w:val="en-GB"/>
        </w:rPr>
        <w:t>Supplementary Materials</w:t>
      </w:r>
    </w:p>
    <w:p w14:paraId="58D11D35" w14:textId="77777777" w:rsidR="00383CAB" w:rsidRPr="00BD3241" w:rsidRDefault="00383CAB">
      <w:pPr>
        <w:spacing w:after="50"/>
        <w:rPr>
          <w:lang w:val="en-GB"/>
        </w:rPr>
      </w:pPr>
    </w:p>
    <w:p w14:paraId="54C4B959" w14:textId="77777777" w:rsidR="00ED3C7A" w:rsidRPr="007525F3" w:rsidRDefault="00ED3C7A" w:rsidP="00ED3C7A">
      <w:pPr>
        <w:spacing w:before="240" w:after="240"/>
        <w:jc w:val="center"/>
        <w:rPr>
          <w:color w:val="EE0000"/>
          <w:sz w:val="36"/>
          <w:szCs w:val="36"/>
          <w:lang w:val="en-GB"/>
        </w:rPr>
      </w:pPr>
      <w:r w:rsidRPr="007525F3">
        <w:rPr>
          <w:b/>
          <w:bCs/>
          <w:color w:val="EE0000"/>
          <w:sz w:val="36"/>
          <w:szCs w:val="36"/>
          <w:lang w:val="en-GB"/>
        </w:rPr>
        <w:t>Sex determines palmitoylethanolamide efficacy in Alzheimer’s Tg2576 mice through differential FAAH expression</w:t>
      </w:r>
    </w:p>
    <w:p w14:paraId="1A077103" w14:textId="77777777" w:rsidR="00ED3C7A" w:rsidRPr="007525F3" w:rsidRDefault="00ED3C7A" w:rsidP="00ED3C7A">
      <w:pPr>
        <w:spacing w:after="120"/>
        <w:jc w:val="center"/>
        <w:rPr>
          <w:i/>
          <w:iCs/>
          <w:color w:val="EE0000"/>
          <w:sz w:val="20"/>
          <w:szCs w:val="20"/>
          <w:lang w:val="en-GB"/>
        </w:rPr>
      </w:pPr>
      <w:r w:rsidRPr="007525F3">
        <w:rPr>
          <w:b/>
          <w:bCs/>
          <w:i/>
          <w:iCs/>
          <w:color w:val="EE0000"/>
          <w:sz w:val="20"/>
          <w:szCs w:val="20"/>
          <w:lang w:val="en-GB"/>
        </w:rPr>
        <w:t xml:space="preserve">Running title: </w:t>
      </w:r>
      <w:r w:rsidRPr="007525F3">
        <w:rPr>
          <w:i/>
          <w:iCs/>
          <w:color w:val="EE0000"/>
          <w:sz w:val="20"/>
          <w:szCs w:val="20"/>
          <w:lang w:val="en-GB"/>
        </w:rPr>
        <w:t>FAAH and PEA efficacy in female AD mice</w:t>
      </w:r>
    </w:p>
    <w:p w14:paraId="2A874639" w14:textId="77777777" w:rsidR="00ED3C7A" w:rsidRPr="00925CCD" w:rsidRDefault="00ED3C7A" w:rsidP="00ED3C7A">
      <w:pPr>
        <w:spacing w:after="120"/>
        <w:jc w:val="center"/>
        <w:rPr>
          <w:lang w:val="en-GB"/>
        </w:rPr>
      </w:pPr>
    </w:p>
    <w:p w14:paraId="229DD326" w14:textId="77777777" w:rsidR="00ED3C7A" w:rsidRDefault="00ED3C7A" w:rsidP="00ED3C7A">
      <w:pPr>
        <w:pStyle w:val="Standard"/>
        <w:jc w:val="center"/>
        <w:rPr>
          <w:rFonts w:ascii="Times New Roman" w:hAnsi="Times New Roman" w:cs="Times New Roman"/>
          <w:color w:val="000000"/>
          <w:sz w:val="24"/>
          <w:szCs w:val="24"/>
          <w:vertAlign w:val="subscript"/>
        </w:rPr>
      </w:pPr>
      <w:r w:rsidRPr="00F94BEA">
        <w:rPr>
          <w:rFonts w:ascii="Times New Roman" w:hAnsi="Times New Roman" w:cs="Times New Roman"/>
          <w:color w:val="000000"/>
          <w:sz w:val="24"/>
          <w:szCs w:val="24"/>
        </w:rPr>
        <w:t>Daniel Tortolani</w:t>
      </w:r>
      <w:r w:rsidRPr="00F94BEA">
        <w:rPr>
          <w:rFonts w:ascii="Times New Roman" w:hAnsi="Times New Roman" w:cs="Times New Roman"/>
          <w:color w:val="000000"/>
          <w:sz w:val="24"/>
          <w:szCs w:val="24"/>
          <w:vertAlign w:val="subscript"/>
        </w:rPr>
        <w:t>1,2</w:t>
      </w:r>
      <w:r w:rsidRPr="00F94BEA">
        <w:rPr>
          <w:rFonts w:ascii="Times New Roman" w:hAnsi="Times New Roman" w:cs="Times New Roman"/>
          <w:color w:val="000000"/>
          <w:sz w:val="24"/>
          <w:szCs w:val="24"/>
        </w:rPr>
        <w:t>; Anna Panuccio</w:t>
      </w:r>
      <w:r w:rsidRPr="00F94BEA">
        <w:rPr>
          <w:rFonts w:ascii="Times New Roman" w:hAnsi="Times New Roman" w:cs="Times New Roman"/>
          <w:color w:val="000000"/>
          <w:sz w:val="24"/>
          <w:szCs w:val="24"/>
          <w:vertAlign w:val="subscript"/>
        </w:rPr>
        <w:t>1, 3</w:t>
      </w:r>
      <w:r w:rsidRPr="001B301B">
        <w:rPr>
          <w:rFonts w:ascii="Times New Roman" w:hAnsi="Times New Roman" w:cs="Times New Roman"/>
          <w:color w:val="000000"/>
          <w:sz w:val="24"/>
          <w:szCs w:val="24"/>
        </w:rPr>
        <w:t xml:space="preserve">; </w:t>
      </w:r>
      <w:r w:rsidRPr="00F94BEA">
        <w:rPr>
          <w:rFonts w:ascii="Times New Roman" w:hAnsi="Times New Roman" w:cs="Times New Roman"/>
          <w:color w:val="000000"/>
          <w:sz w:val="24"/>
          <w:szCs w:val="24"/>
        </w:rPr>
        <w:t>Giacomo Giacovazzo</w:t>
      </w:r>
      <w:r w:rsidRPr="00F94BEA">
        <w:rPr>
          <w:rFonts w:ascii="Times New Roman" w:hAnsi="Times New Roman" w:cs="Times New Roman"/>
          <w:color w:val="000000"/>
          <w:sz w:val="24"/>
          <w:szCs w:val="24"/>
          <w:vertAlign w:val="subscript"/>
        </w:rPr>
        <w:t>1,2</w:t>
      </w:r>
      <w:r w:rsidRPr="001B301B">
        <w:rPr>
          <w:rFonts w:ascii="Times New Roman" w:hAnsi="Times New Roman" w:cs="Times New Roman"/>
          <w:color w:val="000000"/>
          <w:sz w:val="24"/>
          <w:szCs w:val="24"/>
        </w:rPr>
        <w:t>;</w:t>
      </w:r>
      <w:r w:rsidRPr="004A5F5E">
        <w:rPr>
          <w:rFonts w:ascii="Times New Roman" w:hAnsi="Times New Roman" w:cs="Times New Roman"/>
          <w:color w:val="000000"/>
          <w:sz w:val="24"/>
          <w:szCs w:val="24"/>
        </w:rPr>
        <w:t xml:space="preserve"> </w:t>
      </w:r>
      <w:r w:rsidRPr="00F94BEA">
        <w:rPr>
          <w:rFonts w:ascii="Times New Roman" w:hAnsi="Times New Roman" w:cs="Times New Roman"/>
          <w:color w:val="000000"/>
          <w:sz w:val="24"/>
          <w:szCs w:val="24"/>
        </w:rPr>
        <w:t>Davide Decandia</w:t>
      </w:r>
      <w:r w:rsidRPr="00F94BEA">
        <w:rPr>
          <w:rFonts w:ascii="Times New Roman" w:hAnsi="Times New Roman" w:cs="Times New Roman"/>
          <w:color w:val="000000"/>
          <w:sz w:val="24"/>
          <w:szCs w:val="24"/>
          <w:vertAlign w:val="subscript"/>
        </w:rPr>
        <w:t>1,3</w:t>
      </w:r>
      <w:r w:rsidRPr="001B301B">
        <w:rPr>
          <w:rFonts w:ascii="Times New Roman" w:hAnsi="Times New Roman" w:cs="Times New Roman"/>
          <w:color w:val="000000"/>
          <w:sz w:val="24"/>
          <w:szCs w:val="24"/>
        </w:rPr>
        <w:t>;</w:t>
      </w:r>
      <w:r w:rsidRPr="00F94BEA">
        <w:rPr>
          <w:rFonts w:ascii="Times New Roman" w:hAnsi="Times New Roman" w:cs="Times New Roman"/>
          <w:color w:val="000000"/>
          <w:sz w:val="24"/>
          <w:szCs w:val="24"/>
          <w:vertAlign w:val="subscript"/>
        </w:rPr>
        <w:t xml:space="preserve"> </w:t>
      </w:r>
      <w:r w:rsidRPr="00F94BEA">
        <w:rPr>
          <w:rFonts w:ascii="Times New Roman" w:hAnsi="Times New Roman" w:cs="Times New Roman"/>
          <w:color w:val="000000"/>
          <w:sz w:val="24"/>
          <w:szCs w:val="24"/>
        </w:rPr>
        <w:t>Lucia Scipioni</w:t>
      </w:r>
      <w:r w:rsidRPr="00F94BEA">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vertAlign w:val="subscript"/>
        </w:rPr>
        <w:t>4</w:t>
      </w:r>
      <w:r w:rsidRPr="00F94BEA">
        <w:rPr>
          <w:rFonts w:ascii="Times New Roman" w:hAnsi="Times New Roman" w:cs="Times New Roman"/>
          <w:color w:val="000000"/>
          <w:sz w:val="24"/>
          <w:szCs w:val="24"/>
        </w:rPr>
        <w:t>; Francesca Ciaramellano</w:t>
      </w:r>
      <w:r w:rsidRPr="00F94BEA">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vertAlign w:val="subscript"/>
        </w:rPr>
        <w:t>,2</w:t>
      </w:r>
      <w:r w:rsidRPr="00F94BEA">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Annalaura Sabatucci </w:t>
      </w:r>
      <w:r w:rsidRPr="009238C2">
        <w:rPr>
          <w:rFonts w:ascii="Times New Roman" w:hAnsi="Times New Roman" w:cs="Times New Roman"/>
          <w:color w:val="000000"/>
          <w:sz w:val="24"/>
          <w:szCs w:val="24"/>
          <w:vertAlign w:val="subscript"/>
        </w:rPr>
        <w:t>1,5</w:t>
      </w:r>
      <w:r>
        <w:rPr>
          <w:rFonts w:ascii="Times New Roman" w:hAnsi="Times New Roman" w:cs="Times New Roman"/>
          <w:color w:val="000000"/>
          <w:sz w:val="24"/>
          <w:szCs w:val="24"/>
        </w:rPr>
        <w:t xml:space="preserve">; </w:t>
      </w:r>
      <w:r w:rsidRPr="00F94BEA">
        <w:rPr>
          <w:rFonts w:ascii="Times New Roman" w:hAnsi="Times New Roman" w:cs="Times New Roman"/>
          <w:color w:val="000000"/>
          <w:sz w:val="24"/>
          <w:szCs w:val="24"/>
        </w:rPr>
        <w:t>Debora Cutuli</w:t>
      </w:r>
      <w:r w:rsidRPr="00F94BEA">
        <w:rPr>
          <w:rFonts w:ascii="Times New Roman" w:hAnsi="Times New Roman" w:cs="Times New Roman"/>
          <w:color w:val="000000"/>
          <w:sz w:val="24"/>
          <w:szCs w:val="24"/>
          <w:vertAlign w:val="subscript"/>
        </w:rPr>
        <w:t>1,3</w:t>
      </w:r>
      <w:r>
        <w:rPr>
          <w:rFonts w:ascii="Times New Roman" w:hAnsi="Times New Roman" w:cs="Times New Roman"/>
          <w:color w:val="000000"/>
          <w:sz w:val="24"/>
          <w:szCs w:val="24"/>
        </w:rPr>
        <w:t xml:space="preserve">; </w:t>
      </w:r>
      <w:r w:rsidRPr="00F94BEA">
        <w:rPr>
          <w:rFonts w:ascii="Times New Roman" w:hAnsi="Times New Roman" w:cs="Times New Roman"/>
          <w:color w:val="000000"/>
          <w:sz w:val="24"/>
          <w:szCs w:val="24"/>
        </w:rPr>
        <w:t>Roberto Coccurello</w:t>
      </w:r>
      <w:r w:rsidRPr="00F94BEA">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vertAlign w:val="subscript"/>
        </w:rPr>
        <w:t>5</w:t>
      </w:r>
      <w:r w:rsidRPr="00F94BEA">
        <w:rPr>
          <w:rFonts w:ascii="Times New Roman" w:hAnsi="Times New Roman" w:cs="Times New Roman"/>
          <w:color w:val="000000"/>
          <w:sz w:val="24"/>
          <w:szCs w:val="24"/>
        </w:rPr>
        <w:t>; Laura Petrosini</w:t>
      </w:r>
      <w:r w:rsidRPr="00F94BEA">
        <w:rPr>
          <w:rFonts w:ascii="Times New Roman" w:hAnsi="Times New Roman" w:cs="Times New Roman"/>
          <w:color w:val="000000"/>
          <w:sz w:val="24"/>
          <w:szCs w:val="24"/>
          <w:vertAlign w:val="subscript"/>
        </w:rPr>
        <w:t>1#</w:t>
      </w:r>
      <w:r w:rsidRPr="00F94BEA">
        <w:rPr>
          <w:rFonts w:ascii="Times New Roman" w:hAnsi="Times New Roman" w:cs="Times New Roman"/>
          <w:color w:val="000000"/>
          <w:sz w:val="24"/>
          <w:szCs w:val="24"/>
        </w:rPr>
        <w:t>; Mauro Maccarrone</w:t>
      </w:r>
      <w:r w:rsidRPr="00F94BEA">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vertAlign w:val="subscript"/>
        </w:rPr>
        <w:t>4</w:t>
      </w:r>
      <w:r w:rsidRPr="00F94BEA">
        <w:rPr>
          <w:rFonts w:ascii="Times New Roman" w:hAnsi="Times New Roman" w:cs="Times New Roman"/>
          <w:color w:val="000000"/>
          <w:sz w:val="24"/>
          <w:szCs w:val="24"/>
          <w:vertAlign w:val="subscript"/>
        </w:rPr>
        <w:t>#</w:t>
      </w:r>
      <w:r w:rsidRPr="00F94BEA">
        <w:rPr>
          <w:rFonts w:ascii="Times New Roman" w:hAnsi="Times New Roman" w:cs="Times New Roman"/>
          <w:color w:val="000000"/>
          <w:sz w:val="24"/>
          <w:szCs w:val="24"/>
        </w:rPr>
        <w:t>;</w:t>
      </w:r>
      <w:r w:rsidRPr="007525F3">
        <w:rPr>
          <w:rFonts w:ascii="Times New Roman" w:hAnsi="Times New Roman" w:cs="Times New Roman"/>
          <w:color w:val="000000"/>
          <w:sz w:val="24"/>
          <w:szCs w:val="24"/>
        </w:rPr>
        <w:t xml:space="preserve"> </w:t>
      </w:r>
      <w:r w:rsidRPr="00F94BEA">
        <w:rPr>
          <w:rFonts w:ascii="Times New Roman" w:hAnsi="Times New Roman" w:cs="Times New Roman"/>
          <w:color w:val="000000"/>
          <w:sz w:val="24"/>
          <w:szCs w:val="24"/>
        </w:rPr>
        <w:t>Sergio Oddi</w:t>
      </w:r>
      <w:r w:rsidRPr="00F94BEA">
        <w:rPr>
          <w:rFonts w:ascii="Times New Roman" w:hAnsi="Times New Roman" w:cs="Times New Roman"/>
          <w:color w:val="000000"/>
          <w:sz w:val="24"/>
          <w:szCs w:val="24"/>
          <w:vertAlign w:val="subscript"/>
        </w:rPr>
        <w:t>1,2#</w:t>
      </w:r>
      <w:r>
        <w:rPr>
          <w:rFonts w:ascii="Times New Roman" w:hAnsi="Times New Roman" w:cs="Times New Roman"/>
          <w:color w:val="000000"/>
          <w:sz w:val="24"/>
          <w:szCs w:val="24"/>
          <w:vertAlign w:val="subscript"/>
        </w:rPr>
        <w:t>§</w:t>
      </w:r>
    </w:p>
    <w:p w14:paraId="1BBA1580" w14:textId="77777777" w:rsidR="00ED3C7A" w:rsidRPr="00F94BEA" w:rsidRDefault="00ED3C7A" w:rsidP="00ED3C7A">
      <w:pPr>
        <w:pStyle w:val="Standard"/>
        <w:jc w:val="center"/>
        <w:rPr>
          <w:rFonts w:ascii="Times New Roman" w:hAnsi="Times New Roman" w:cs="Times New Roman"/>
          <w:color w:val="000000"/>
          <w:sz w:val="24"/>
          <w:szCs w:val="24"/>
        </w:rPr>
      </w:pPr>
    </w:p>
    <w:p w14:paraId="4CD787EC" w14:textId="77777777" w:rsidR="00ED3C7A" w:rsidRPr="00F94BEA" w:rsidRDefault="00ED3C7A" w:rsidP="00ED3C7A">
      <w:pPr>
        <w:pStyle w:val="Standard"/>
        <w:spacing w:line="240" w:lineRule="auto"/>
        <w:rPr>
          <w:rFonts w:ascii="Times New Roman" w:hAnsi="Times New Roman" w:cs="Times New Roman"/>
          <w:color w:val="000000"/>
          <w:sz w:val="16"/>
          <w:szCs w:val="16"/>
        </w:rPr>
      </w:pPr>
      <w:r w:rsidRPr="00F94BEA">
        <w:rPr>
          <w:rFonts w:ascii="Times New Roman" w:hAnsi="Times New Roman" w:cs="Times New Roman"/>
          <w:color w:val="000000"/>
          <w:sz w:val="16"/>
          <w:szCs w:val="16"/>
        </w:rPr>
        <w:t>1</w:t>
      </w:r>
      <w:r>
        <w:rPr>
          <w:rFonts w:ascii="Times New Roman" w:hAnsi="Times New Roman" w:cs="Times New Roman"/>
          <w:color w:val="000000"/>
          <w:sz w:val="16"/>
          <w:szCs w:val="16"/>
        </w:rPr>
        <w:t>- European Center for Brain Research/</w:t>
      </w:r>
      <w:r w:rsidRPr="00F94BEA">
        <w:rPr>
          <w:rFonts w:ascii="Times New Roman" w:hAnsi="Times New Roman" w:cs="Times New Roman"/>
          <w:color w:val="000000"/>
          <w:sz w:val="16"/>
          <w:szCs w:val="16"/>
        </w:rPr>
        <w:t>Fondazione Santa Lucia IRCCS, 00143 Rome, Italy.</w:t>
      </w:r>
    </w:p>
    <w:p w14:paraId="038639F6" w14:textId="77777777" w:rsidR="00ED3C7A" w:rsidRPr="00F94BEA" w:rsidRDefault="00ED3C7A" w:rsidP="00ED3C7A">
      <w:pPr>
        <w:pStyle w:val="Standard"/>
        <w:spacing w:line="240" w:lineRule="auto"/>
        <w:rPr>
          <w:rFonts w:ascii="Times New Roman" w:hAnsi="Times New Roman" w:cs="Times New Roman"/>
          <w:color w:val="000000"/>
          <w:sz w:val="16"/>
          <w:szCs w:val="16"/>
          <w:lang w:val="en-US"/>
        </w:rPr>
      </w:pPr>
      <w:r w:rsidRPr="00F94BEA">
        <w:rPr>
          <w:rFonts w:ascii="Times New Roman" w:hAnsi="Times New Roman" w:cs="Times New Roman"/>
          <w:color w:val="000000"/>
          <w:sz w:val="16"/>
          <w:szCs w:val="16"/>
          <w:lang w:val="en-US"/>
        </w:rPr>
        <w:t>2- Department of Veterinary Medicine, University of Teramo, 64100 Teramo, Italy.</w:t>
      </w:r>
    </w:p>
    <w:p w14:paraId="4F6A41F2" w14:textId="77777777" w:rsidR="00ED3C7A" w:rsidRPr="00F94BEA" w:rsidRDefault="00ED3C7A" w:rsidP="00ED3C7A">
      <w:pPr>
        <w:pStyle w:val="Standard"/>
        <w:spacing w:line="240" w:lineRule="auto"/>
        <w:rPr>
          <w:rFonts w:ascii="Times New Roman" w:hAnsi="Times New Roman" w:cs="Times New Roman"/>
          <w:color w:val="000000"/>
          <w:sz w:val="16"/>
          <w:szCs w:val="16"/>
          <w:lang w:val="en-US"/>
        </w:rPr>
      </w:pPr>
      <w:r w:rsidRPr="00F94BEA">
        <w:rPr>
          <w:rFonts w:ascii="Times New Roman" w:hAnsi="Times New Roman" w:cs="Times New Roman"/>
          <w:color w:val="000000"/>
          <w:sz w:val="16"/>
          <w:szCs w:val="16"/>
          <w:lang w:val="en-US"/>
        </w:rPr>
        <w:t>3- Department of Psychology, University Sapienza of Rome, 00185 Rome, Italy.</w:t>
      </w:r>
    </w:p>
    <w:p w14:paraId="3A70C7DE" w14:textId="77777777" w:rsidR="00ED3C7A" w:rsidRDefault="00ED3C7A" w:rsidP="00ED3C7A">
      <w:pPr>
        <w:pStyle w:val="Standard"/>
        <w:spacing w:line="240" w:lineRule="auto"/>
        <w:rPr>
          <w:rFonts w:ascii="Times New Roman" w:hAnsi="Times New Roman" w:cs="Times New Roman"/>
          <w:color w:val="000000"/>
          <w:sz w:val="16"/>
          <w:szCs w:val="16"/>
          <w:lang w:val="en-US"/>
        </w:rPr>
      </w:pPr>
      <w:r w:rsidRPr="00F94BEA">
        <w:rPr>
          <w:rFonts w:ascii="Times New Roman" w:hAnsi="Times New Roman" w:cs="Times New Roman"/>
          <w:color w:val="000000"/>
          <w:sz w:val="16"/>
          <w:szCs w:val="16"/>
          <w:lang w:val="en-US"/>
        </w:rPr>
        <w:t xml:space="preserve">4- Department of Biotechnological and </w:t>
      </w:r>
      <w:r>
        <w:rPr>
          <w:rFonts w:ascii="Times New Roman" w:hAnsi="Times New Roman" w:cs="Times New Roman"/>
          <w:color w:val="000000"/>
          <w:sz w:val="16"/>
          <w:szCs w:val="16"/>
          <w:lang w:val="en-US"/>
        </w:rPr>
        <w:t>A</w:t>
      </w:r>
      <w:r w:rsidRPr="00F94BEA">
        <w:rPr>
          <w:rFonts w:ascii="Times New Roman" w:hAnsi="Times New Roman" w:cs="Times New Roman"/>
          <w:color w:val="000000"/>
          <w:sz w:val="16"/>
          <w:szCs w:val="16"/>
          <w:lang w:val="en-US"/>
        </w:rPr>
        <w:t xml:space="preserve">pplied </w:t>
      </w:r>
      <w:r>
        <w:rPr>
          <w:rFonts w:ascii="Times New Roman" w:hAnsi="Times New Roman" w:cs="Times New Roman"/>
          <w:color w:val="000000"/>
          <w:sz w:val="16"/>
          <w:szCs w:val="16"/>
          <w:lang w:val="en-US"/>
        </w:rPr>
        <w:t>C</w:t>
      </w:r>
      <w:r w:rsidRPr="00F94BEA">
        <w:rPr>
          <w:rFonts w:ascii="Times New Roman" w:hAnsi="Times New Roman" w:cs="Times New Roman"/>
          <w:color w:val="000000"/>
          <w:sz w:val="16"/>
          <w:szCs w:val="16"/>
          <w:lang w:val="en-US"/>
        </w:rPr>
        <w:t xml:space="preserve">linical </w:t>
      </w:r>
      <w:r>
        <w:rPr>
          <w:rFonts w:ascii="Times New Roman" w:hAnsi="Times New Roman" w:cs="Times New Roman"/>
          <w:color w:val="000000"/>
          <w:sz w:val="16"/>
          <w:szCs w:val="16"/>
          <w:lang w:val="en-US"/>
        </w:rPr>
        <w:t>S</w:t>
      </w:r>
      <w:r w:rsidRPr="00F94BEA">
        <w:rPr>
          <w:rFonts w:ascii="Times New Roman" w:hAnsi="Times New Roman" w:cs="Times New Roman"/>
          <w:color w:val="000000"/>
          <w:sz w:val="16"/>
          <w:szCs w:val="16"/>
          <w:lang w:val="en-US"/>
        </w:rPr>
        <w:t>ciences, University of L’Aquila, 67100 L’Aquila, Italy.</w:t>
      </w:r>
    </w:p>
    <w:p w14:paraId="13B05928" w14:textId="77777777" w:rsidR="00ED3C7A" w:rsidRDefault="00ED3C7A" w:rsidP="00ED3C7A">
      <w:pPr>
        <w:pStyle w:val="Standard"/>
        <w:spacing w:line="240" w:lineRule="auto"/>
        <w:rPr>
          <w:rFonts w:ascii="Times New Roman" w:hAnsi="Times New Roman" w:cs="Times New Roman"/>
          <w:color w:val="000000"/>
          <w:sz w:val="16"/>
          <w:szCs w:val="16"/>
          <w:lang w:val="en-US"/>
        </w:rPr>
      </w:pPr>
      <w:r>
        <w:rPr>
          <w:rFonts w:ascii="Times New Roman" w:hAnsi="Times New Roman" w:cs="Times New Roman"/>
          <w:color w:val="000000"/>
          <w:sz w:val="16"/>
          <w:szCs w:val="16"/>
          <w:lang w:val="en-US"/>
        </w:rPr>
        <w:t xml:space="preserve">5- </w:t>
      </w:r>
      <w:r w:rsidRPr="009238C2">
        <w:rPr>
          <w:rFonts w:ascii="Times New Roman" w:hAnsi="Times New Roman" w:cs="Times New Roman"/>
          <w:color w:val="000000"/>
          <w:sz w:val="16"/>
          <w:szCs w:val="16"/>
          <w:lang w:val="en-US"/>
        </w:rPr>
        <w:t>Department of Biosciences and Technology for Food Agriculture and Environment, University of Teramo, Via Renato Balzarini 1, 64100 Teramo, Italy.</w:t>
      </w:r>
    </w:p>
    <w:p w14:paraId="6F590E46" w14:textId="77777777" w:rsidR="00ED3C7A" w:rsidRDefault="00ED3C7A" w:rsidP="00ED3C7A">
      <w:pPr>
        <w:pStyle w:val="Standard"/>
        <w:spacing w:line="240" w:lineRule="auto"/>
        <w:rPr>
          <w:rFonts w:ascii="Times New Roman" w:hAnsi="Times New Roman" w:cs="Times New Roman"/>
          <w:color w:val="000000"/>
          <w:sz w:val="16"/>
          <w:szCs w:val="16"/>
          <w:lang w:val="en-US"/>
        </w:rPr>
      </w:pPr>
      <w:r>
        <w:rPr>
          <w:rFonts w:ascii="Times New Roman" w:hAnsi="Times New Roman" w:cs="Times New Roman"/>
          <w:color w:val="000000"/>
          <w:sz w:val="16"/>
          <w:szCs w:val="16"/>
          <w:lang w:val="en-US"/>
        </w:rPr>
        <w:t>6-</w:t>
      </w:r>
      <w:r w:rsidRPr="000D44E7">
        <w:rPr>
          <w:lang w:val="en-US"/>
        </w:rPr>
        <w:t xml:space="preserve"> </w:t>
      </w:r>
      <w:r w:rsidRPr="00F94BEA">
        <w:rPr>
          <w:rFonts w:ascii="Times New Roman" w:hAnsi="Times New Roman" w:cs="Times New Roman"/>
          <w:color w:val="000000"/>
          <w:sz w:val="16"/>
          <w:szCs w:val="16"/>
          <w:lang w:val="en-US"/>
        </w:rPr>
        <w:t xml:space="preserve"> Institute for Complex Systems (ISC), National Council of Research (CNR), 00185 Rome, Italy</w:t>
      </w:r>
      <w:r>
        <w:rPr>
          <w:rFonts w:ascii="Times New Roman" w:hAnsi="Times New Roman" w:cs="Times New Roman"/>
          <w:color w:val="000000"/>
          <w:sz w:val="16"/>
          <w:szCs w:val="16"/>
          <w:lang w:val="en-US"/>
        </w:rPr>
        <w:t>.</w:t>
      </w:r>
      <w:r w:rsidRPr="00F94BEA">
        <w:rPr>
          <w:rFonts w:ascii="Times New Roman" w:hAnsi="Times New Roman" w:cs="Times New Roman"/>
          <w:color w:val="000000"/>
          <w:sz w:val="16"/>
          <w:szCs w:val="16"/>
          <w:lang w:val="en-US"/>
        </w:rPr>
        <w:t xml:space="preserve"> </w:t>
      </w:r>
    </w:p>
    <w:p w14:paraId="46857CDB" w14:textId="77777777" w:rsidR="00ED3C7A" w:rsidRDefault="00ED3C7A" w:rsidP="00ED3C7A">
      <w:pPr>
        <w:pStyle w:val="Standard"/>
        <w:spacing w:line="240" w:lineRule="auto"/>
        <w:rPr>
          <w:rFonts w:ascii="Times New Roman" w:hAnsi="Times New Roman" w:cs="Times New Roman"/>
          <w:color w:val="000000"/>
          <w:sz w:val="16"/>
          <w:szCs w:val="16"/>
          <w:lang w:val="en-US"/>
        </w:rPr>
      </w:pPr>
      <w:r w:rsidRPr="00F94BEA">
        <w:rPr>
          <w:rFonts w:ascii="Times New Roman" w:hAnsi="Times New Roman" w:cs="Times New Roman"/>
          <w:color w:val="000000"/>
          <w:sz w:val="16"/>
          <w:szCs w:val="16"/>
          <w:lang w:val="en-US"/>
        </w:rPr>
        <w:t># Equally senior author</w:t>
      </w:r>
    </w:p>
    <w:p w14:paraId="4B28FE50" w14:textId="77777777" w:rsidR="00ED3C7A" w:rsidRPr="00ED3C7A" w:rsidRDefault="00ED3C7A" w:rsidP="00ED3C7A">
      <w:pPr>
        <w:pStyle w:val="Standard"/>
        <w:spacing w:line="240" w:lineRule="auto"/>
        <w:rPr>
          <w:rFonts w:ascii="Times New Roman" w:hAnsi="Times New Roman" w:cs="Times New Roman"/>
          <w:color w:val="156082" w:themeColor="accent1"/>
          <w:sz w:val="16"/>
          <w:szCs w:val="16"/>
          <w:lang w:val="en-US"/>
        </w:rPr>
      </w:pPr>
      <w:r w:rsidRPr="00B426E7">
        <w:rPr>
          <w:rFonts w:ascii="Times New Roman" w:hAnsi="Times New Roman" w:cs="Times New Roman"/>
          <w:color w:val="000000"/>
          <w:sz w:val="16"/>
          <w:szCs w:val="16"/>
          <w:lang w:val="en-US"/>
        </w:rPr>
        <w:t>§</w:t>
      </w:r>
      <w:r>
        <w:rPr>
          <w:rFonts w:ascii="Times New Roman" w:hAnsi="Times New Roman" w:cs="Times New Roman"/>
          <w:color w:val="000000"/>
          <w:sz w:val="16"/>
          <w:szCs w:val="16"/>
          <w:lang w:val="en-US"/>
        </w:rPr>
        <w:t xml:space="preserve">Corresponding author </w:t>
      </w:r>
      <w:r w:rsidRPr="00ED3C7A">
        <w:rPr>
          <w:rFonts w:ascii="Times New Roman" w:hAnsi="Times New Roman" w:cs="Times New Roman"/>
          <w:color w:val="156082" w:themeColor="accent1"/>
          <w:sz w:val="16"/>
          <w:szCs w:val="16"/>
          <w:lang w:val="en-US"/>
        </w:rPr>
        <w:t>soddi@unite.it</w:t>
      </w:r>
    </w:p>
    <w:p w14:paraId="021DC55C" w14:textId="77777777" w:rsidR="00ED3C7A" w:rsidRPr="00F94BEA" w:rsidRDefault="00ED3C7A" w:rsidP="00ED3C7A">
      <w:pPr>
        <w:pStyle w:val="Standard"/>
        <w:spacing w:line="240" w:lineRule="auto"/>
        <w:rPr>
          <w:rFonts w:ascii="Times New Roman" w:hAnsi="Times New Roman" w:cs="Times New Roman"/>
          <w:color w:val="000000"/>
          <w:sz w:val="16"/>
          <w:szCs w:val="16"/>
          <w:lang w:val="en-US"/>
        </w:rPr>
      </w:pPr>
    </w:p>
    <w:p w14:paraId="0CC15631" w14:textId="77777777" w:rsidR="00BD3241" w:rsidRDefault="00BD3241">
      <w:pPr>
        <w:pStyle w:val="Titolo1"/>
        <w:spacing w:before="360" w:after="200"/>
        <w:rPr>
          <w:b/>
          <w:bCs/>
          <w:sz w:val="28"/>
          <w:szCs w:val="28"/>
          <w:lang w:val="en-GB"/>
        </w:rPr>
      </w:pPr>
    </w:p>
    <w:p w14:paraId="572C04DE" w14:textId="77777777" w:rsidR="00BD3241" w:rsidRDefault="00BD3241">
      <w:pPr>
        <w:pStyle w:val="Titolo1"/>
        <w:spacing w:before="360" w:after="200"/>
        <w:rPr>
          <w:b/>
          <w:bCs/>
          <w:sz w:val="28"/>
          <w:szCs w:val="28"/>
          <w:lang w:val="en-GB"/>
        </w:rPr>
      </w:pPr>
    </w:p>
    <w:p w14:paraId="402253B8" w14:textId="77777777" w:rsidR="00BD3241" w:rsidRDefault="00BD3241">
      <w:pPr>
        <w:pStyle w:val="Titolo1"/>
        <w:spacing w:before="360" w:after="200"/>
        <w:rPr>
          <w:b/>
          <w:bCs/>
          <w:sz w:val="28"/>
          <w:szCs w:val="28"/>
          <w:lang w:val="en-GB"/>
        </w:rPr>
      </w:pPr>
    </w:p>
    <w:p w14:paraId="1937E551" w14:textId="77777777" w:rsidR="00BD3241" w:rsidRDefault="00BD3241">
      <w:pPr>
        <w:pStyle w:val="Titolo1"/>
        <w:spacing w:before="360" w:after="200"/>
        <w:rPr>
          <w:b/>
          <w:bCs/>
          <w:sz w:val="28"/>
          <w:szCs w:val="28"/>
          <w:lang w:val="en-GB"/>
        </w:rPr>
      </w:pPr>
    </w:p>
    <w:p w14:paraId="105CEA0A" w14:textId="77777777" w:rsidR="00BD3241" w:rsidRDefault="00BD3241">
      <w:pPr>
        <w:pStyle w:val="Titolo1"/>
        <w:spacing w:before="360" w:after="200"/>
        <w:rPr>
          <w:b/>
          <w:bCs/>
          <w:sz w:val="28"/>
          <w:szCs w:val="28"/>
          <w:lang w:val="en-GB"/>
        </w:rPr>
      </w:pPr>
    </w:p>
    <w:p w14:paraId="13DFF512" w14:textId="77777777" w:rsidR="00BD3241" w:rsidRDefault="00BD3241">
      <w:pPr>
        <w:pStyle w:val="Titolo1"/>
        <w:spacing w:before="360" w:after="200"/>
        <w:rPr>
          <w:b/>
          <w:bCs/>
          <w:sz w:val="28"/>
          <w:szCs w:val="28"/>
          <w:lang w:val="en-GB"/>
        </w:rPr>
      </w:pPr>
    </w:p>
    <w:p w14:paraId="75D55DE2" w14:textId="77777777" w:rsidR="00BD3241" w:rsidRDefault="00BD3241">
      <w:pPr>
        <w:pStyle w:val="Titolo1"/>
        <w:spacing w:before="360" w:after="200"/>
        <w:rPr>
          <w:b/>
          <w:bCs/>
          <w:sz w:val="28"/>
          <w:szCs w:val="28"/>
          <w:lang w:val="en-GB"/>
        </w:rPr>
      </w:pPr>
    </w:p>
    <w:p w14:paraId="5A009296" w14:textId="77777777" w:rsidR="00BD3241" w:rsidRDefault="00BD3241">
      <w:pPr>
        <w:pStyle w:val="Titolo1"/>
        <w:spacing w:before="360" w:after="200"/>
        <w:rPr>
          <w:b/>
          <w:bCs/>
          <w:sz w:val="28"/>
          <w:szCs w:val="28"/>
          <w:lang w:val="en-GB"/>
        </w:rPr>
      </w:pPr>
    </w:p>
    <w:p w14:paraId="3B7DFF36" w14:textId="77777777" w:rsidR="00BD3241" w:rsidRDefault="00BD3241">
      <w:pPr>
        <w:pStyle w:val="Titolo1"/>
        <w:spacing w:before="360" w:after="200"/>
        <w:rPr>
          <w:b/>
          <w:bCs/>
          <w:sz w:val="28"/>
          <w:szCs w:val="28"/>
          <w:lang w:val="en-GB"/>
        </w:rPr>
      </w:pPr>
    </w:p>
    <w:p w14:paraId="22EB3307" w14:textId="56FEE5FB" w:rsidR="00F60D0D" w:rsidRPr="00BD3241" w:rsidRDefault="00BD3241" w:rsidP="00BD3241">
      <w:pPr>
        <w:pStyle w:val="Titolo1"/>
        <w:spacing w:before="360" w:after="200"/>
        <w:rPr>
          <w:b/>
          <w:bCs/>
          <w:color w:val="000000" w:themeColor="text1"/>
          <w:lang w:val="en-GB"/>
        </w:rPr>
      </w:pPr>
      <w:r w:rsidRPr="00BD3241">
        <w:rPr>
          <w:b/>
          <w:bCs/>
          <w:color w:val="000000" w:themeColor="text1"/>
          <w:lang w:val="en-GB"/>
        </w:rPr>
        <w:t>Supplementary Data</w:t>
      </w:r>
    </w:p>
    <w:p w14:paraId="662B2900" w14:textId="7C1EB574" w:rsidR="00BD3241" w:rsidRPr="00BD3241" w:rsidRDefault="00F60D0D" w:rsidP="00BD3241">
      <w:pPr>
        <w:pStyle w:val="Titolo1"/>
        <w:spacing w:before="360" w:after="200"/>
        <w:rPr>
          <w:b/>
          <w:bCs/>
          <w:color w:val="000000" w:themeColor="text1"/>
          <w:sz w:val="28"/>
          <w:szCs w:val="28"/>
          <w:lang w:val="en-GB"/>
        </w:rPr>
      </w:pPr>
      <w:r w:rsidRPr="00F60D0D">
        <w:rPr>
          <w:b/>
          <w:bCs/>
          <w:color w:val="000000" w:themeColor="text1"/>
          <w:sz w:val="28"/>
          <w:szCs w:val="28"/>
          <w:lang w:val="en-GB"/>
        </w:rPr>
        <w:t>Supplementary</w:t>
      </w:r>
      <w:r w:rsidRPr="00BD3241">
        <w:rPr>
          <w:b/>
          <w:bCs/>
          <w:sz w:val="22"/>
          <w:szCs w:val="22"/>
          <w:lang w:val="en-GB"/>
        </w:rPr>
        <w:t xml:space="preserve"> </w:t>
      </w:r>
      <w:r>
        <w:rPr>
          <w:b/>
          <w:bCs/>
          <w:color w:val="000000" w:themeColor="text1"/>
          <w:sz w:val="28"/>
          <w:szCs w:val="28"/>
          <w:lang w:val="en-GB"/>
        </w:rPr>
        <w:t>f</w:t>
      </w:r>
      <w:r w:rsidR="00BD3241" w:rsidRPr="00BD3241">
        <w:rPr>
          <w:b/>
          <w:bCs/>
          <w:color w:val="000000" w:themeColor="text1"/>
          <w:sz w:val="28"/>
          <w:szCs w:val="28"/>
          <w:lang w:val="en-GB"/>
        </w:rPr>
        <w:t>igure S1</w:t>
      </w:r>
    </w:p>
    <w:p w14:paraId="5D272886" w14:textId="0475815E" w:rsidR="00F60D0D" w:rsidRPr="00F60D0D" w:rsidRDefault="00F60D0D" w:rsidP="00F60D0D">
      <w:pPr>
        <w:pStyle w:val="Titolo1"/>
        <w:spacing w:before="360" w:after="200"/>
        <w:rPr>
          <w:b/>
          <w:bCs/>
          <w:sz w:val="28"/>
          <w:szCs w:val="28"/>
          <w:lang w:val="en-GB"/>
        </w:rPr>
      </w:pPr>
      <w:r>
        <w:rPr>
          <w:noProof/>
          <w:sz w:val="22"/>
          <w:szCs w:val="22"/>
          <w:lang w:val="en-GB"/>
        </w:rPr>
        <w:drawing>
          <wp:inline distT="0" distB="0" distL="0" distR="0" wp14:anchorId="4E29299F" wp14:editId="0BC9A4BB">
            <wp:extent cx="5996940" cy="2848104"/>
            <wp:effectExtent l="0" t="0" r="3810" b="9525"/>
            <wp:docPr id="17403464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46447" name="Immagine 1740346447"/>
                    <pic:cNvPicPr/>
                  </pic:nvPicPr>
                  <pic:blipFill rotWithShape="1">
                    <a:blip r:embed="rId5" cstate="print">
                      <a:extLst>
                        <a:ext uri="{28A0092B-C50C-407E-A947-70E740481C1C}">
                          <a14:useLocalDpi xmlns:a14="http://schemas.microsoft.com/office/drawing/2010/main" val="0"/>
                        </a:ext>
                      </a:extLst>
                    </a:blip>
                    <a:srcRect l="6781" t="5641" r="3080" b="64084"/>
                    <a:stretch>
                      <a:fillRect/>
                    </a:stretch>
                  </pic:blipFill>
                  <pic:spPr bwMode="auto">
                    <a:xfrm>
                      <a:off x="0" y="0"/>
                      <a:ext cx="6014480" cy="2856434"/>
                    </a:xfrm>
                    <a:prstGeom prst="rect">
                      <a:avLst/>
                    </a:prstGeom>
                    <a:ln>
                      <a:noFill/>
                    </a:ln>
                    <a:extLst>
                      <a:ext uri="{53640926-AAD7-44D8-BBD7-CCE9431645EC}">
                        <a14:shadowObscured xmlns:a14="http://schemas.microsoft.com/office/drawing/2010/main"/>
                      </a:ext>
                    </a:extLst>
                  </pic:spPr>
                </pic:pic>
              </a:graphicData>
            </a:graphic>
          </wp:inline>
        </w:drawing>
      </w:r>
    </w:p>
    <w:p w14:paraId="461D9F81" w14:textId="34FA874A" w:rsidR="00BD3241" w:rsidRDefault="00F60D0D" w:rsidP="00BD3241">
      <w:pPr>
        <w:spacing w:after="400"/>
        <w:jc w:val="both"/>
        <w:rPr>
          <w:lang w:val="en-GB"/>
        </w:rPr>
      </w:pPr>
      <w:r>
        <w:rPr>
          <w:b/>
          <w:bCs/>
          <w:sz w:val="22"/>
          <w:szCs w:val="22"/>
          <w:lang w:val="en-GB"/>
        </w:rPr>
        <w:t>F</w:t>
      </w:r>
      <w:r w:rsidR="00BD3241" w:rsidRPr="00BD3241">
        <w:rPr>
          <w:b/>
          <w:bCs/>
          <w:sz w:val="22"/>
          <w:szCs w:val="22"/>
          <w:lang w:val="en-GB"/>
        </w:rPr>
        <w:t xml:space="preserve">igure S1. FAAH protein expression in wild-type male and female hippocampus. </w:t>
      </w:r>
      <w:r w:rsidR="00E777B2" w:rsidRPr="004F52FC">
        <w:rPr>
          <w:sz w:val="22"/>
          <w:szCs w:val="22"/>
          <w:lang w:val="en-GB"/>
        </w:rPr>
        <w:t>Representative Western blot of FAAH (63 kDa</w:t>
      </w:r>
      <w:r w:rsidR="00BB52F9" w:rsidRPr="00BB52F9">
        <w:rPr>
          <w:noProof/>
          <w:lang w:val="en-GB"/>
        </w:rPr>
        <w:t xml:space="preserve"> </w:t>
      </w:r>
      <w:r w:rsidR="00E777B2" w:rsidRPr="004F52FC">
        <w:rPr>
          <w:sz w:val="22"/>
          <w:szCs w:val="22"/>
          <w:lang w:val="en-GB"/>
        </w:rPr>
        <w:t xml:space="preserve">) and </w:t>
      </w:r>
      <w:r w:rsidR="00E777B2" w:rsidRPr="004F52FC">
        <w:rPr>
          <w:sz w:val="22"/>
          <w:szCs w:val="22"/>
        </w:rPr>
        <w:t>β</w:t>
      </w:r>
      <w:r w:rsidR="00E777B2" w:rsidRPr="004F52FC">
        <w:rPr>
          <w:sz w:val="22"/>
          <w:szCs w:val="22"/>
          <w:lang w:val="en-GB"/>
        </w:rPr>
        <w:t xml:space="preserve">-actin (46 kDa) in hippocampal extracts from </w:t>
      </w:r>
      <w:r w:rsidR="00E777B2">
        <w:rPr>
          <w:sz w:val="22"/>
          <w:szCs w:val="22"/>
          <w:lang w:val="en-GB"/>
        </w:rPr>
        <w:t>WT</w:t>
      </w:r>
      <w:r w:rsidR="00E777B2" w:rsidRPr="004F52FC">
        <w:rPr>
          <w:sz w:val="22"/>
          <w:szCs w:val="22"/>
          <w:lang w:val="en-GB"/>
        </w:rPr>
        <w:t xml:space="preserve"> females (left) and</w:t>
      </w:r>
      <w:r w:rsidR="00E777B2">
        <w:rPr>
          <w:sz w:val="22"/>
          <w:szCs w:val="22"/>
          <w:lang w:val="en-GB"/>
        </w:rPr>
        <w:t xml:space="preserve"> WT</w:t>
      </w:r>
      <w:r w:rsidR="00E777B2" w:rsidRPr="004F52FC">
        <w:rPr>
          <w:sz w:val="22"/>
          <w:szCs w:val="22"/>
          <w:lang w:val="en-GB"/>
        </w:rPr>
        <w:t xml:space="preserve"> males (right).</w:t>
      </w:r>
      <w:r w:rsidR="00E777B2">
        <w:rPr>
          <w:b/>
          <w:bCs/>
          <w:sz w:val="22"/>
          <w:szCs w:val="22"/>
          <w:lang w:val="en-GB"/>
        </w:rPr>
        <w:t xml:space="preserve"> </w:t>
      </w:r>
      <w:r w:rsidR="00BD3241" w:rsidRPr="00BD3241">
        <w:rPr>
          <w:sz w:val="22"/>
          <w:szCs w:val="22"/>
          <w:lang w:val="en-GB"/>
        </w:rPr>
        <w:t>(</w:t>
      </w:r>
      <w:r w:rsidR="00E777B2">
        <w:rPr>
          <w:b/>
          <w:bCs/>
          <w:sz w:val="22"/>
          <w:szCs w:val="22"/>
          <w:lang w:val="en-GB"/>
        </w:rPr>
        <w:t>B</w:t>
      </w:r>
      <w:r w:rsidR="00BD3241" w:rsidRPr="00BD3241">
        <w:rPr>
          <w:sz w:val="22"/>
          <w:szCs w:val="22"/>
          <w:lang w:val="en-GB"/>
        </w:rPr>
        <w:t>)</w:t>
      </w:r>
      <w:r w:rsidR="00E777B2">
        <w:rPr>
          <w:sz w:val="22"/>
          <w:szCs w:val="22"/>
          <w:lang w:val="en-GB"/>
        </w:rPr>
        <w:t xml:space="preserve"> </w:t>
      </w:r>
      <w:r w:rsidR="00BD3241" w:rsidRPr="00BD3241">
        <w:rPr>
          <w:sz w:val="22"/>
          <w:szCs w:val="22"/>
          <w:lang w:val="en-GB"/>
        </w:rPr>
        <w:t xml:space="preserve">Western blot densitometric analysis of FAAH protein levels (normalized to </w:t>
      </w:r>
      <w:r w:rsidR="00BD3241" w:rsidRPr="00BD3241">
        <w:rPr>
          <w:sz w:val="22"/>
          <w:szCs w:val="22"/>
        </w:rPr>
        <w:t>β</w:t>
      </w:r>
      <w:r w:rsidR="00BD3241" w:rsidRPr="00BD3241">
        <w:rPr>
          <w:sz w:val="22"/>
          <w:szCs w:val="22"/>
          <w:lang w:val="en-GB"/>
        </w:rPr>
        <w:t>-actin) in hippocampal extracts from wild-type male (n = 6) and wild-type female (n = 6) mice at 12 months of age. Wild-type females displayed significantly elevated FAAH protein levels compared to wild-type males (1.75×; p = 0.021, unpaired t-test), demonstrating that the sex difference in FAAH expression is independent of the Tg2576 transgene and consistent with a constitutive, genotype-independent phenomenon. Boxplots display median (horizontal line), interquartile range (box), and whiskers extending to 1.5× IQR. Individual data points are shown as scatter overlay. *p &lt; 0.05</w:t>
      </w:r>
      <w:r w:rsidR="00BD3241" w:rsidRPr="00BD3241">
        <w:rPr>
          <w:lang w:val="en-GB"/>
        </w:rPr>
        <w:t>.</w:t>
      </w:r>
    </w:p>
    <w:p w14:paraId="6A6AFC9B" w14:textId="40D50A75" w:rsidR="00536D92" w:rsidRDefault="00536D92" w:rsidP="00536D92">
      <w:pPr>
        <w:pStyle w:val="Titolo1"/>
        <w:spacing w:before="360" w:after="200"/>
        <w:rPr>
          <w:b/>
          <w:bCs/>
          <w:color w:val="000000" w:themeColor="text1"/>
          <w:sz w:val="28"/>
          <w:szCs w:val="28"/>
          <w:lang w:val="en-GB"/>
        </w:rPr>
      </w:pPr>
      <w:r w:rsidRPr="00F60D0D">
        <w:rPr>
          <w:b/>
          <w:bCs/>
          <w:color w:val="000000" w:themeColor="text1"/>
          <w:sz w:val="28"/>
          <w:szCs w:val="28"/>
          <w:lang w:val="en-GB"/>
        </w:rPr>
        <w:lastRenderedPageBreak/>
        <w:t>Supplementary</w:t>
      </w:r>
      <w:r w:rsidRPr="00BD3241">
        <w:rPr>
          <w:b/>
          <w:bCs/>
          <w:sz w:val="22"/>
          <w:szCs w:val="22"/>
          <w:lang w:val="en-GB"/>
        </w:rPr>
        <w:t xml:space="preserve"> </w:t>
      </w:r>
      <w:r>
        <w:rPr>
          <w:b/>
          <w:bCs/>
          <w:color w:val="000000" w:themeColor="text1"/>
          <w:sz w:val="28"/>
          <w:szCs w:val="28"/>
          <w:lang w:val="en-GB"/>
        </w:rPr>
        <w:t>f</w:t>
      </w:r>
      <w:r w:rsidRPr="00BD3241">
        <w:rPr>
          <w:b/>
          <w:bCs/>
          <w:color w:val="000000" w:themeColor="text1"/>
          <w:sz w:val="28"/>
          <w:szCs w:val="28"/>
          <w:lang w:val="en-GB"/>
        </w:rPr>
        <w:t>igure S</w:t>
      </w:r>
      <w:r>
        <w:rPr>
          <w:b/>
          <w:bCs/>
          <w:color w:val="000000" w:themeColor="text1"/>
          <w:sz w:val="28"/>
          <w:szCs w:val="28"/>
          <w:lang w:val="en-GB"/>
        </w:rPr>
        <w:t>2</w:t>
      </w:r>
      <w:r w:rsidR="00531AE7">
        <w:rPr>
          <w:b/>
          <w:bCs/>
          <w:noProof/>
          <w:color w:val="000000" w:themeColor="text1"/>
          <w:sz w:val="28"/>
          <w:szCs w:val="28"/>
          <w:lang w:val="en-GB"/>
        </w:rPr>
        <w:drawing>
          <wp:inline distT="0" distB="0" distL="0" distR="0" wp14:anchorId="508146D8" wp14:editId="2C49876F">
            <wp:extent cx="6362700" cy="3573824"/>
            <wp:effectExtent l="0" t="0" r="0" b="7620"/>
            <wp:docPr id="10136462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46207" name="Immagine 1013646207"/>
                    <pic:cNvPicPr/>
                  </pic:nvPicPr>
                  <pic:blipFill rotWithShape="1">
                    <a:blip r:embed="rId6" cstate="print">
                      <a:extLst>
                        <a:ext uri="{28A0092B-C50C-407E-A947-70E740481C1C}">
                          <a14:useLocalDpi xmlns:a14="http://schemas.microsoft.com/office/drawing/2010/main" val="0"/>
                        </a:ext>
                      </a:extLst>
                    </a:blip>
                    <a:srcRect l="2127" t="12128" r="6271" b="51485"/>
                    <a:stretch>
                      <a:fillRect/>
                    </a:stretch>
                  </pic:blipFill>
                  <pic:spPr bwMode="auto">
                    <a:xfrm>
                      <a:off x="0" y="0"/>
                      <a:ext cx="6402433" cy="3596141"/>
                    </a:xfrm>
                    <a:prstGeom prst="rect">
                      <a:avLst/>
                    </a:prstGeom>
                    <a:ln>
                      <a:noFill/>
                    </a:ln>
                    <a:extLst>
                      <a:ext uri="{53640926-AAD7-44D8-BBD7-CCE9431645EC}">
                        <a14:shadowObscured xmlns:a14="http://schemas.microsoft.com/office/drawing/2010/main"/>
                      </a:ext>
                    </a:extLst>
                  </pic:spPr>
                </pic:pic>
              </a:graphicData>
            </a:graphic>
          </wp:inline>
        </w:drawing>
      </w:r>
    </w:p>
    <w:p w14:paraId="3EBAE99B" w14:textId="558FC913" w:rsidR="00BD3241" w:rsidRPr="00CB6932" w:rsidRDefault="00531AE7" w:rsidP="00CB6932">
      <w:pPr>
        <w:pStyle w:val="Titolo1"/>
        <w:spacing w:before="360" w:after="200"/>
        <w:jc w:val="both"/>
        <w:rPr>
          <w:color w:val="000000" w:themeColor="text1"/>
          <w:sz w:val="22"/>
          <w:szCs w:val="22"/>
          <w:lang w:val="en-GB"/>
        </w:rPr>
      </w:pPr>
      <w:r w:rsidRPr="00531AE7">
        <w:rPr>
          <w:b/>
          <w:bCs/>
          <w:color w:val="000000" w:themeColor="text1"/>
          <w:sz w:val="22"/>
          <w:szCs w:val="22"/>
          <w:lang w:val="en-GB"/>
        </w:rPr>
        <w:t xml:space="preserve">Figure S2. Mouse </w:t>
      </w:r>
      <w:r w:rsidRPr="00531AE7">
        <w:rPr>
          <w:b/>
          <w:bCs/>
          <w:i/>
          <w:iCs/>
          <w:color w:val="000000" w:themeColor="text1"/>
          <w:sz w:val="22"/>
          <w:szCs w:val="22"/>
          <w:lang w:val="en-GB"/>
        </w:rPr>
        <w:t>Faah</w:t>
      </w:r>
      <w:r w:rsidRPr="00531AE7">
        <w:rPr>
          <w:b/>
          <w:bCs/>
          <w:color w:val="000000" w:themeColor="text1"/>
          <w:sz w:val="22"/>
          <w:szCs w:val="22"/>
          <w:lang w:val="en-GB"/>
        </w:rPr>
        <w:t xml:space="preserve"> gene promoter </w:t>
      </w:r>
      <w:r w:rsidRPr="00531AE7">
        <w:rPr>
          <w:color w:val="000000" w:themeColor="text1"/>
          <w:sz w:val="22"/>
          <w:szCs w:val="22"/>
          <w:lang w:val="en-GB"/>
        </w:rPr>
        <w:t xml:space="preserve">(transcript Faah-201, ENSMUST00000049095.6; chromosome 4: 115,024,342–115,075,123, reverse strand). </w:t>
      </w:r>
      <w:r w:rsidR="002332D7" w:rsidRPr="002332D7">
        <w:rPr>
          <w:color w:val="000000" w:themeColor="text1"/>
          <w:sz w:val="22"/>
          <w:szCs w:val="22"/>
          <w:lang w:val="en-GB"/>
        </w:rPr>
        <w:t>Promoter sequences were retrieved from Ensembl (GRCm39 assembly) and scanned for ERE motifs. Transcription factor binding predictions were performed using ALGGEN PROMO (version 3.0.2) with the TRANSFAC database (release 2017) at a maximum dissimilarity threshold of 5%.</w:t>
      </w:r>
      <w:r w:rsidRPr="00531AE7">
        <w:rPr>
          <w:color w:val="000000" w:themeColor="text1"/>
          <w:sz w:val="22"/>
          <w:szCs w:val="22"/>
          <w:lang w:val="en-GB"/>
        </w:rPr>
        <w:t xml:space="preserve">A single full palindromic ERE was identified at position −401 relative to the transcription start site (TSS), with the sequence 5′-GGTCAaggAAACC-3′. This motif retains the complete 5′ half-site (GGTCA) of the canonical ERE consensus (5′-GGTCAnnnTGACC-3′), with a variant 3′ half-site (AAACC). The motif corresponds to the ERE originally characterized by Waleh </w:t>
      </w:r>
      <w:r w:rsidRPr="00531AE7">
        <w:rPr>
          <w:i/>
          <w:iCs/>
          <w:color w:val="000000" w:themeColor="text1"/>
          <w:sz w:val="22"/>
          <w:szCs w:val="22"/>
          <w:lang w:val="en-GB"/>
        </w:rPr>
        <w:t>et al.</w:t>
      </w:r>
      <w:r w:rsidRPr="00531AE7">
        <w:rPr>
          <w:color w:val="000000" w:themeColor="text1"/>
          <w:sz w:val="22"/>
          <w:szCs w:val="22"/>
          <w:lang w:val="en-GB"/>
        </w:rPr>
        <w:t xml:space="preserve"> [7]; the five additional ERE variants described in that study are no longer present in the current genome assembly, consistent with the extensive revisions to the mouse reference sequence since the original annotation (2002, MGSCv3). ALGGEN PROMO predicted binding of both ER</w:t>
      </w:r>
      <w:r w:rsidRPr="00531AE7">
        <w:rPr>
          <w:color w:val="000000" w:themeColor="text1"/>
          <w:sz w:val="22"/>
          <w:szCs w:val="22"/>
        </w:rPr>
        <w:t>α</w:t>
      </w:r>
      <w:r w:rsidRPr="00531AE7">
        <w:rPr>
          <w:color w:val="000000" w:themeColor="text1"/>
          <w:sz w:val="22"/>
          <w:szCs w:val="22"/>
          <w:lang w:val="en-GB"/>
        </w:rPr>
        <w:t xml:space="preserve"> (TRANSFAC accession T00261; recognized sequence CGGGTCAA; dissimilarity 2.86%; RE equality 0.00726) and ER</w:t>
      </w:r>
      <w:r w:rsidRPr="00531AE7">
        <w:rPr>
          <w:color w:val="000000" w:themeColor="text1"/>
          <w:sz w:val="22"/>
          <w:szCs w:val="22"/>
        </w:rPr>
        <w:t>β</w:t>
      </w:r>
      <w:r w:rsidRPr="00531AE7">
        <w:rPr>
          <w:color w:val="000000" w:themeColor="text1"/>
          <w:sz w:val="22"/>
          <w:szCs w:val="22"/>
          <w:lang w:val="en-GB"/>
        </w:rPr>
        <w:t xml:space="preserve"> (T04651; recognized sequence GCCGGGTCA; dissimilarity 4.62%; RE equality 0.00130). The dual recognition by both estrogen receptor isoforms is consistent with the robust and statistically significant sex difference in hippocampal FAAH expression observed at the mRNA (2.17×; p = 0.028), protein (2.15×; p = 0.0005), and enzymatic activity (2.12×; p = 0.005) levels (Fig. 1E–H).</w:t>
      </w:r>
    </w:p>
    <w:p w14:paraId="1FF5C8AD" w14:textId="77777777" w:rsidR="00771E37" w:rsidRDefault="00771E37">
      <w:pPr>
        <w:pStyle w:val="Titolo1"/>
        <w:spacing w:before="360" w:after="200"/>
        <w:rPr>
          <w:b/>
          <w:bCs/>
          <w:color w:val="000000" w:themeColor="text1"/>
          <w:sz w:val="28"/>
          <w:szCs w:val="28"/>
          <w:lang w:val="en-GB"/>
        </w:rPr>
      </w:pPr>
    </w:p>
    <w:p w14:paraId="78EDC509" w14:textId="77777777" w:rsidR="00771E37" w:rsidRDefault="00771E37">
      <w:pPr>
        <w:pStyle w:val="Titolo1"/>
        <w:spacing w:before="360" w:after="200"/>
        <w:rPr>
          <w:b/>
          <w:bCs/>
          <w:color w:val="000000" w:themeColor="text1"/>
          <w:sz w:val="28"/>
          <w:szCs w:val="28"/>
          <w:lang w:val="en-GB"/>
        </w:rPr>
      </w:pPr>
    </w:p>
    <w:p w14:paraId="08C014E1" w14:textId="77777777" w:rsidR="00771E37" w:rsidRDefault="00771E37">
      <w:pPr>
        <w:pStyle w:val="Titolo1"/>
        <w:spacing w:before="360" w:after="200"/>
        <w:rPr>
          <w:b/>
          <w:bCs/>
          <w:color w:val="000000" w:themeColor="text1"/>
          <w:sz w:val="28"/>
          <w:szCs w:val="28"/>
          <w:lang w:val="en-GB"/>
        </w:rPr>
      </w:pPr>
    </w:p>
    <w:p w14:paraId="761A5D29" w14:textId="77777777" w:rsidR="00771E37" w:rsidRDefault="00771E37">
      <w:pPr>
        <w:pStyle w:val="Titolo1"/>
        <w:spacing w:before="360" w:after="200"/>
        <w:rPr>
          <w:b/>
          <w:bCs/>
          <w:color w:val="000000" w:themeColor="text1"/>
          <w:sz w:val="28"/>
          <w:szCs w:val="28"/>
          <w:lang w:val="en-GB"/>
        </w:rPr>
      </w:pPr>
    </w:p>
    <w:p w14:paraId="5CED661B" w14:textId="77777777" w:rsidR="00771E37" w:rsidRDefault="00771E37">
      <w:pPr>
        <w:pStyle w:val="Titolo1"/>
        <w:spacing w:before="360" w:after="200"/>
        <w:rPr>
          <w:b/>
          <w:bCs/>
          <w:color w:val="000000" w:themeColor="text1"/>
          <w:sz w:val="28"/>
          <w:szCs w:val="28"/>
          <w:lang w:val="en-GB"/>
        </w:rPr>
      </w:pPr>
    </w:p>
    <w:p w14:paraId="4994DAF9" w14:textId="77777777" w:rsidR="00771E37" w:rsidRDefault="00771E37">
      <w:pPr>
        <w:pStyle w:val="Titolo1"/>
        <w:spacing w:before="360" w:after="200"/>
        <w:rPr>
          <w:b/>
          <w:bCs/>
          <w:color w:val="000000" w:themeColor="text1"/>
          <w:sz w:val="28"/>
          <w:szCs w:val="28"/>
          <w:lang w:val="en-GB"/>
        </w:rPr>
      </w:pPr>
    </w:p>
    <w:p w14:paraId="657634CC" w14:textId="1A730509" w:rsidR="00BD3241" w:rsidRDefault="00CB6932">
      <w:pPr>
        <w:pStyle w:val="Titolo1"/>
        <w:spacing w:before="360" w:after="200"/>
        <w:rPr>
          <w:b/>
          <w:bCs/>
          <w:sz w:val="28"/>
          <w:szCs w:val="28"/>
          <w:lang w:val="en-GB"/>
        </w:rPr>
      </w:pPr>
      <w:r w:rsidRPr="00F60D0D">
        <w:rPr>
          <w:b/>
          <w:bCs/>
          <w:color w:val="000000" w:themeColor="text1"/>
          <w:sz w:val="28"/>
          <w:szCs w:val="28"/>
          <w:lang w:val="en-GB"/>
        </w:rPr>
        <w:t>Supplementary</w:t>
      </w:r>
      <w:r w:rsidRPr="00BD3241">
        <w:rPr>
          <w:b/>
          <w:bCs/>
          <w:sz w:val="22"/>
          <w:szCs w:val="22"/>
          <w:lang w:val="en-GB"/>
        </w:rPr>
        <w:t xml:space="preserve"> </w:t>
      </w:r>
      <w:r>
        <w:rPr>
          <w:b/>
          <w:bCs/>
          <w:color w:val="000000" w:themeColor="text1"/>
          <w:sz w:val="28"/>
          <w:szCs w:val="28"/>
          <w:lang w:val="en-GB"/>
        </w:rPr>
        <w:t>f</w:t>
      </w:r>
      <w:r w:rsidRPr="00BD3241">
        <w:rPr>
          <w:b/>
          <w:bCs/>
          <w:color w:val="000000" w:themeColor="text1"/>
          <w:sz w:val="28"/>
          <w:szCs w:val="28"/>
          <w:lang w:val="en-GB"/>
        </w:rPr>
        <w:t>igure S</w:t>
      </w:r>
      <w:r>
        <w:rPr>
          <w:b/>
          <w:bCs/>
          <w:color w:val="000000" w:themeColor="text1"/>
          <w:sz w:val="28"/>
          <w:szCs w:val="28"/>
          <w:lang w:val="en-GB"/>
        </w:rPr>
        <w:t>3</w:t>
      </w:r>
    </w:p>
    <w:p w14:paraId="104FE59E" w14:textId="7CBD7A9A" w:rsidR="00BD3241" w:rsidRDefault="00771E37">
      <w:pPr>
        <w:pStyle w:val="Titolo1"/>
        <w:spacing w:before="360" w:after="200"/>
        <w:rPr>
          <w:b/>
          <w:bCs/>
          <w:sz w:val="28"/>
          <w:szCs w:val="28"/>
          <w:lang w:val="en-GB"/>
        </w:rPr>
      </w:pPr>
      <w:r>
        <w:rPr>
          <w:b/>
          <w:bCs/>
          <w:noProof/>
          <w:sz w:val="28"/>
          <w:szCs w:val="28"/>
          <w:lang w:val="en-GB"/>
        </w:rPr>
        <w:drawing>
          <wp:inline distT="0" distB="0" distL="0" distR="0" wp14:anchorId="51B830D4" wp14:editId="65ED71DE">
            <wp:extent cx="5731510" cy="5722620"/>
            <wp:effectExtent l="0" t="0" r="2540" b="0"/>
            <wp:docPr id="5394426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42656" name="Immagine 539442656"/>
                    <pic:cNvPicPr/>
                  </pic:nvPicPr>
                  <pic:blipFill rotWithShape="1">
                    <a:blip r:embed="rId7" cstate="print">
                      <a:extLst>
                        <a:ext uri="{28A0092B-C50C-407E-A947-70E740481C1C}">
                          <a14:useLocalDpi xmlns:a14="http://schemas.microsoft.com/office/drawing/2010/main" val="0"/>
                        </a:ext>
                      </a:extLst>
                    </a:blip>
                    <a:srcRect t="4513" b="24877"/>
                    <a:stretch>
                      <a:fillRect/>
                    </a:stretch>
                  </pic:blipFill>
                  <pic:spPr bwMode="auto">
                    <a:xfrm>
                      <a:off x="0" y="0"/>
                      <a:ext cx="5731510" cy="5722620"/>
                    </a:xfrm>
                    <a:prstGeom prst="rect">
                      <a:avLst/>
                    </a:prstGeom>
                    <a:ln>
                      <a:noFill/>
                    </a:ln>
                    <a:extLst>
                      <a:ext uri="{53640926-AAD7-44D8-BBD7-CCE9431645EC}">
                        <a14:shadowObscured xmlns:a14="http://schemas.microsoft.com/office/drawing/2010/main"/>
                      </a:ext>
                    </a:extLst>
                  </pic:spPr>
                </pic:pic>
              </a:graphicData>
            </a:graphic>
          </wp:inline>
        </w:drawing>
      </w:r>
    </w:p>
    <w:p w14:paraId="03659091" w14:textId="4E6DD0BB" w:rsidR="00BD3241" w:rsidRPr="00771E37" w:rsidRDefault="00771E37" w:rsidP="00771E37">
      <w:pPr>
        <w:pStyle w:val="Titolo1"/>
        <w:spacing w:before="360" w:after="200"/>
        <w:jc w:val="both"/>
        <w:rPr>
          <w:b/>
          <w:bCs/>
          <w:color w:val="000000" w:themeColor="text1"/>
          <w:sz w:val="28"/>
          <w:szCs w:val="28"/>
          <w:lang w:val="en-GB"/>
        </w:rPr>
      </w:pPr>
      <w:r w:rsidRPr="00771E37">
        <w:rPr>
          <w:b/>
          <w:bCs/>
          <w:color w:val="000000" w:themeColor="text1"/>
          <w:sz w:val="22"/>
          <w:szCs w:val="22"/>
          <w:lang w:val="en-GB"/>
        </w:rPr>
        <w:t>Figure S3.</w:t>
      </w:r>
      <w:r>
        <w:rPr>
          <w:color w:val="000000" w:themeColor="text1"/>
          <w:sz w:val="22"/>
          <w:szCs w:val="22"/>
          <w:lang w:val="en-GB"/>
        </w:rPr>
        <w:t xml:space="preserve"> </w:t>
      </w:r>
      <w:r>
        <w:rPr>
          <w:b/>
          <w:bCs/>
          <w:color w:val="000000" w:themeColor="text1"/>
          <w:sz w:val="22"/>
          <w:szCs w:val="22"/>
          <w:lang w:val="en-GB"/>
        </w:rPr>
        <w:t>N</w:t>
      </w:r>
      <w:r w:rsidRPr="00771E37">
        <w:rPr>
          <w:b/>
          <w:bCs/>
          <w:color w:val="000000" w:themeColor="text1"/>
          <w:sz w:val="22"/>
          <w:szCs w:val="22"/>
          <w:lang w:val="en-GB"/>
        </w:rPr>
        <w:t>AA</w:t>
      </w:r>
      <w:r>
        <w:rPr>
          <w:b/>
          <w:bCs/>
          <w:color w:val="000000" w:themeColor="text1"/>
          <w:sz w:val="22"/>
          <w:szCs w:val="22"/>
          <w:lang w:val="en-GB"/>
        </w:rPr>
        <w:t>A gene and</w:t>
      </w:r>
      <w:r w:rsidRPr="00771E37">
        <w:rPr>
          <w:b/>
          <w:bCs/>
          <w:color w:val="000000" w:themeColor="text1"/>
          <w:sz w:val="22"/>
          <w:szCs w:val="22"/>
          <w:lang w:val="en-GB"/>
        </w:rPr>
        <w:t xml:space="preserve"> protein expression in </w:t>
      </w:r>
      <w:r>
        <w:rPr>
          <w:b/>
          <w:bCs/>
          <w:color w:val="000000" w:themeColor="text1"/>
          <w:sz w:val="22"/>
          <w:szCs w:val="22"/>
          <w:lang w:val="en-GB"/>
        </w:rPr>
        <w:t>Tg2576</w:t>
      </w:r>
      <w:r w:rsidRPr="00771E37">
        <w:rPr>
          <w:b/>
          <w:bCs/>
          <w:color w:val="000000" w:themeColor="text1"/>
          <w:sz w:val="22"/>
          <w:szCs w:val="22"/>
          <w:lang w:val="en-GB"/>
        </w:rPr>
        <w:t xml:space="preserve"> male and female hippocampus. </w:t>
      </w:r>
      <w:r w:rsidRPr="00771E37">
        <w:rPr>
          <w:color w:val="000000" w:themeColor="text1"/>
          <w:sz w:val="22"/>
          <w:szCs w:val="22"/>
          <w:lang w:val="en-GB"/>
        </w:rPr>
        <w:t>(</w:t>
      </w:r>
      <w:r>
        <w:rPr>
          <w:b/>
          <w:bCs/>
          <w:color w:val="000000" w:themeColor="text1"/>
          <w:sz w:val="22"/>
          <w:szCs w:val="22"/>
          <w:lang w:val="en-GB"/>
        </w:rPr>
        <w:t>A</w:t>
      </w:r>
      <w:r w:rsidRPr="00771E37">
        <w:rPr>
          <w:color w:val="000000" w:themeColor="text1"/>
          <w:sz w:val="22"/>
          <w:szCs w:val="22"/>
          <w:lang w:val="en-GB"/>
        </w:rPr>
        <w:t xml:space="preserve">) </w:t>
      </w:r>
      <w:r>
        <w:rPr>
          <w:color w:val="000000" w:themeColor="text1"/>
          <w:sz w:val="22"/>
          <w:szCs w:val="22"/>
          <w:lang w:val="en-GB"/>
        </w:rPr>
        <w:t xml:space="preserve">NAAA </w:t>
      </w:r>
      <w:r w:rsidRPr="00771E37">
        <w:rPr>
          <w:color w:val="000000" w:themeColor="text1"/>
          <w:sz w:val="22"/>
          <w:szCs w:val="22"/>
          <w:lang w:val="en-GB"/>
        </w:rPr>
        <w:t>mRNA expression (relative to housekeeping gene) in hippocampal tissue from male and female Tg2576 mice (n = 6 per sex). Mann-Whitney U test.</w:t>
      </w:r>
      <w:r w:rsidRPr="00771E37">
        <w:rPr>
          <w:b/>
          <w:bCs/>
          <w:color w:val="000000" w:themeColor="text1"/>
          <w:sz w:val="22"/>
          <w:szCs w:val="22"/>
          <w:lang w:val="en-GB"/>
        </w:rPr>
        <w:t xml:space="preserve"> </w:t>
      </w:r>
      <w:r w:rsidRPr="00771E37">
        <w:rPr>
          <w:color w:val="000000" w:themeColor="text1"/>
          <w:sz w:val="22"/>
          <w:szCs w:val="22"/>
          <w:lang w:val="en-GB"/>
        </w:rPr>
        <w:t>(</w:t>
      </w:r>
      <w:r>
        <w:rPr>
          <w:b/>
          <w:bCs/>
          <w:color w:val="000000" w:themeColor="text1"/>
          <w:sz w:val="22"/>
          <w:szCs w:val="22"/>
          <w:lang w:val="en-GB"/>
        </w:rPr>
        <w:t>B</w:t>
      </w:r>
      <w:r w:rsidRPr="00771E37">
        <w:rPr>
          <w:color w:val="000000" w:themeColor="text1"/>
          <w:sz w:val="22"/>
          <w:szCs w:val="22"/>
          <w:lang w:val="en-GB"/>
        </w:rPr>
        <w:t xml:space="preserve">) FAAH protein levels (normalized densitometric values) in hippocampal extracts from male and female Tg2576 mice (n = 6 per sex). </w:t>
      </w:r>
      <w:r w:rsidRPr="00771E37">
        <w:rPr>
          <w:color w:val="000000" w:themeColor="text1"/>
          <w:sz w:val="22"/>
          <w:szCs w:val="22"/>
        </w:rPr>
        <w:t>β</w:t>
      </w:r>
      <w:r w:rsidRPr="00771E37">
        <w:rPr>
          <w:color w:val="000000" w:themeColor="text1"/>
          <w:sz w:val="22"/>
          <w:szCs w:val="22"/>
          <w:lang w:val="en-GB"/>
        </w:rPr>
        <w:t>-actin was used as loading control. Unpaired t-test.</w:t>
      </w:r>
      <w:r w:rsidRPr="00771E37">
        <w:rPr>
          <w:b/>
          <w:bCs/>
          <w:color w:val="000000" w:themeColor="text1"/>
          <w:sz w:val="22"/>
          <w:szCs w:val="22"/>
          <w:lang w:val="en-GB"/>
        </w:rPr>
        <w:t xml:space="preserve"> </w:t>
      </w:r>
      <w:r w:rsidRPr="00771E37">
        <w:rPr>
          <w:color w:val="000000" w:themeColor="text1"/>
          <w:sz w:val="22"/>
          <w:szCs w:val="22"/>
          <w:lang w:val="en-GB"/>
        </w:rPr>
        <w:t>(</w:t>
      </w:r>
      <w:r>
        <w:rPr>
          <w:b/>
          <w:bCs/>
          <w:color w:val="000000" w:themeColor="text1"/>
          <w:sz w:val="22"/>
          <w:szCs w:val="22"/>
          <w:lang w:val="en-GB"/>
        </w:rPr>
        <w:t>C</w:t>
      </w:r>
      <w:r w:rsidRPr="00771E37">
        <w:rPr>
          <w:color w:val="000000" w:themeColor="text1"/>
          <w:sz w:val="22"/>
          <w:szCs w:val="22"/>
          <w:lang w:val="en-GB"/>
        </w:rPr>
        <w:t xml:space="preserve">) Representative Western blot of </w:t>
      </w:r>
      <w:r>
        <w:rPr>
          <w:color w:val="000000" w:themeColor="text1"/>
          <w:sz w:val="22"/>
          <w:szCs w:val="22"/>
          <w:lang w:val="en-GB"/>
        </w:rPr>
        <w:t>N</w:t>
      </w:r>
      <w:r w:rsidRPr="00771E37">
        <w:rPr>
          <w:color w:val="000000" w:themeColor="text1"/>
          <w:sz w:val="22"/>
          <w:szCs w:val="22"/>
          <w:lang w:val="en-GB"/>
        </w:rPr>
        <w:t>AAH (3</w:t>
      </w:r>
      <w:r>
        <w:rPr>
          <w:color w:val="000000" w:themeColor="text1"/>
          <w:sz w:val="22"/>
          <w:szCs w:val="22"/>
          <w:lang w:val="en-GB"/>
        </w:rPr>
        <w:t>7</w:t>
      </w:r>
      <w:r w:rsidRPr="00771E37">
        <w:rPr>
          <w:color w:val="000000" w:themeColor="text1"/>
          <w:sz w:val="22"/>
          <w:szCs w:val="22"/>
          <w:lang w:val="en-GB"/>
        </w:rPr>
        <w:t xml:space="preserve"> kDa) and </w:t>
      </w:r>
      <w:r w:rsidRPr="00771E37">
        <w:rPr>
          <w:color w:val="000000" w:themeColor="text1"/>
          <w:sz w:val="22"/>
          <w:szCs w:val="22"/>
        </w:rPr>
        <w:t>β</w:t>
      </w:r>
      <w:r w:rsidRPr="00771E37">
        <w:rPr>
          <w:color w:val="000000" w:themeColor="text1"/>
          <w:sz w:val="22"/>
          <w:szCs w:val="22"/>
          <w:lang w:val="en-GB"/>
        </w:rPr>
        <w:t>-actin (46 kDa) in hippocampal extracts from Tg2576 females (left) and Tg2576 males (right).</w:t>
      </w:r>
    </w:p>
    <w:p w14:paraId="2B5DD42A" w14:textId="77777777" w:rsidR="00BD3241" w:rsidRDefault="00BD3241">
      <w:pPr>
        <w:pStyle w:val="Titolo1"/>
        <w:spacing w:before="360" w:after="200"/>
        <w:rPr>
          <w:b/>
          <w:bCs/>
          <w:sz w:val="28"/>
          <w:szCs w:val="28"/>
          <w:lang w:val="en-GB"/>
        </w:rPr>
      </w:pPr>
    </w:p>
    <w:p w14:paraId="701B78FD" w14:textId="5CAF8FBC" w:rsidR="00BE243E" w:rsidRDefault="00BE243E" w:rsidP="00BE243E">
      <w:pPr>
        <w:pStyle w:val="Titolo1"/>
        <w:spacing w:before="360" w:after="200"/>
        <w:rPr>
          <w:b/>
          <w:bCs/>
          <w:color w:val="000000" w:themeColor="text1"/>
          <w:sz w:val="28"/>
          <w:szCs w:val="28"/>
          <w:lang w:val="en-GB"/>
        </w:rPr>
      </w:pPr>
      <w:r w:rsidRPr="00F60D0D">
        <w:rPr>
          <w:b/>
          <w:bCs/>
          <w:color w:val="000000" w:themeColor="text1"/>
          <w:sz w:val="28"/>
          <w:szCs w:val="28"/>
          <w:lang w:val="en-GB"/>
        </w:rPr>
        <w:lastRenderedPageBreak/>
        <w:t>Supplementary</w:t>
      </w:r>
      <w:r w:rsidRPr="00BD3241">
        <w:rPr>
          <w:b/>
          <w:bCs/>
          <w:sz w:val="22"/>
          <w:szCs w:val="22"/>
          <w:lang w:val="en-GB"/>
        </w:rPr>
        <w:t xml:space="preserve"> </w:t>
      </w:r>
      <w:r>
        <w:rPr>
          <w:b/>
          <w:bCs/>
          <w:color w:val="000000" w:themeColor="text1"/>
          <w:sz w:val="28"/>
          <w:szCs w:val="28"/>
          <w:lang w:val="en-GB"/>
        </w:rPr>
        <w:t>f</w:t>
      </w:r>
      <w:r w:rsidRPr="00BD3241">
        <w:rPr>
          <w:b/>
          <w:bCs/>
          <w:color w:val="000000" w:themeColor="text1"/>
          <w:sz w:val="28"/>
          <w:szCs w:val="28"/>
          <w:lang w:val="en-GB"/>
        </w:rPr>
        <w:t>igure S</w:t>
      </w:r>
      <w:r>
        <w:rPr>
          <w:b/>
          <w:bCs/>
          <w:color w:val="000000" w:themeColor="text1"/>
          <w:sz w:val="28"/>
          <w:szCs w:val="28"/>
          <w:lang w:val="en-GB"/>
        </w:rPr>
        <w:t>4</w:t>
      </w:r>
    </w:p>
    <w:p w14:paraId="1ED5D379" w14:textId="088740C7" w:rsidR="00F0340F" w:rsidRDefault="00F0340F" w:rsidP="00BE243E">
      <w:pPr>
        <w:pStyle w:val="Titolo1"/>
        <w:spacing w:before="360" w:after="200"/>
        <w:rPr>
          <w:b/>
          <w:bCs/>
          <w:color w:val="000000" w:themeColor="text1"/>
          <w:sz w:val="28"/>
          <w:szCs w:val="28"/>
          <w:lang w:val="en-GB"/>
        </w:rPr>
      </w:pPr>
      <w:r>
        <w:rPr>
          <w:b/>
          <w:bCs/>
          <w:noProof/>
          <w:color w:val="000000" w:themeColor="text1"/>
          <w:sz w:val="28"/>
          <w:szCs w:val="28"/>
          <w:lang w:val="en-GB"/>
        </w:rPr>
        <w:drawing>
          <wp:inline distT="0" distB="0" distL="0" distR="0" wp14:anchorId="47CCB7AF" wp14:editId="748C43A7">
            <wp:extent cx="5856789" cy="2849880"/>
            <wp:effectExtent l="0" t="0" r="0" b="7620"/>
            <wp:docPr id="99504657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46571" name="Immagine 995046571"/>
                    <pic:cNvPicPr/>
                  </pic:nvPicPr>
                  <pic:blipFill rotWithShape="1">
                    <a:blip r:embed="rId8" cstate="print">
                      <a:extLst>
                        <a:ext uri="{28A0092B-C50C-407E-A947-70E740481C1C}">
                          <a14:useLocalDpi xmlns:a14="http://schemas.microsoft.com/office/drawing/2010/main" val="0"/>
                        </a:ext>
                      </a:extLst>
                    </a:blip>
                    <a:srcRect t="60709" b="7686"/>
                    <a:stretch>
                      <a:fillRect/>
                    </a:stretch>
                  </pic:blipFill>
                  <pic:spPr bwMode="auto">
                    <a:xfrm>
                      <a:off x="0" y="0"/>
                      <a:ext cx="5866888" cy="2854794"/>
                    </a:xfrm>
                    <a:prstGeom prst="rect">
                      <a:avLst/>
                    </a:prstGeom>
                    <a:ln>
                      <a:noFill/>
                    </a:ln>
                    <a:extLst>
                      <a:ext uri="{53640926-AAD7-44D8-BBD7-CCE9431645EC}">
                        <a14:shadowObscured xmlns:a14="http://schemas.microsoft.com/office/drawing/2010/main"/>
                      </a:ext>
                    </a:extLst>
                  </pic:spPr>
                </pic:pic>
              </a:graphicData>
            </a:graphic>
          </wp:inline>
        </w:drawing>
      </w:r>
    </w:p>
    <w:p w14:paraId="24CB93EE" w14:textId="1F1807F5" w:rsidR="00BE243E" w:rsidRPr="00BE243E" w:rsidRDefault="00BE243E" w:rsidP="00BE243E">
      <w:pPr>
        <w:pStyle w:val="Titolo1"/>
        <w:spacing w:before="360" w:after="200"/>
        <w:jc w:val="both"/>
        <w:rPr>
          <w:sz w:val="22"/>
          <w:szCs w:val="22"/>
          <w:lang w:val="en-GB"/>
        </w:rPr>
      </w:pPr>
      <w:r w:rsidRPr="00BE243E">
        <w:rPr>
          <w:b/>
          <w:bCs/>
          <w:color w:val="000000" w:themeColor="text1"/>
          <w:sz w:val="22"/>
          <w:szCs w:val="22"/>
          <w:lang w:val="en-GB"/>
        </w:rPr>
        <w:t xml:space="preserve">Figure S4. Mouse </w:t>
      </w:r>
      <w:r w:rsidRPr="00BE243E">
        <w:rPr>
          <w:b/>
          <w:bCs/>
          <w:i/>
          <w:iCs/>
          <w:color w:val="000000" w:themeColor="text1"/>
          <w:sz w:val="22"/>
          <w:szCs w:val="22"/>
          <w:lang w:val="en-GB"/>
        </w:rPr>
        <w:t>Naaa</w:t>
      </w:r>
      <w:r w:rsidRPr="00BE243E">
        <w:rPr>
          <w:b/>
          <w:bCs/>
          <w:color w:val="000000" w:themeColor="text1"/>
          <w:sz w:val="22"/>
          <w:szCs w:val="22"/>
          <w:lang w:val="en-GB"/>
        </w:rPr>
        <w:t xml:space="preserve"> gene promoter </w:t>
      </w:r>
      <w:r w:rsidRPr="00BE243E">
        <w:rPr>
          <w:color w:val="000000" w:themeColor="text1"/>
          <w:sz w:val="22"/>
          <w:szCs w:val="22"/>
          <w:lang w:val="en-GB"/>
        </w:rPr>
        <w:t>(transcript Naaa-201, ENSMUST00000113102.10; chromosome 5: 92,405,518–92,426,029, reverse strand).</w:t>
      </w:r>
      <w:r w:rsidR="002332D7" w:rsidRPr="002332D7">
        <w:rPr>
          <w:color w:val="auto"/>
          <w:sz w:val="24"/>
          <w:szCs w:val="24"/>
          <w:lang w:val="en-GB"/>
        </w:rPr>
        <w:t xml:space="preserve"> </w:t>
      </w:r>
      <w:r w:rsidR="002332D7" w:rsidRPr="002332D7">
        <w:rPr>
          <w:color w:val="000000" w:themeColor="text1"/>
          <w:sz w:val="22"/>
          <w:szCs w:val="22"/>
          <w:lang w:val="en-GB"/>
        </w:rPr>
        <w:t>Promoter sequences were retrieved from Ensembl (GRCm39 assembly) and scanned for ERE motifs. Transcription factor binding predictions were performed using ALGGEN PROMO (version 3.0.2) with the TRANSFAC database (release 2017) at a maximum dissimilarity threshold of 5%.</w:t>
      </w:r>
      <w:r w:rsidR="002332D7">
        <w:rPr>
          <w:color w:val="000000" w:themeColor="text1"/>
          <w:sz w:val="22"/>
          <w:szCs w:val="22"/>
          <w:lang w:val="en-GB"/>
        </w:rPr>
        <w:t xml:space="preserve"> </w:t>
      </w:r>
      <w:r w:rsidRPr="00BE243E">
        <w:rPr>
          <w:color w:val="000000" w:themeColor="text1"/>
          <w:sz w:val="22"/>
          <w:szCs w:val="22"/>
          <w:lang w:val="en-GB"/>
        </w:rPr>
        <w:t>A single half-ERE was identified at position −1241 relative to the TSS, with the sequence 5′-GGTCAgtcTGGGC-3′. This motif retains the 5′ half-site (GGTCA) but the 3′ half-site (TGGGC) diverges substantially from the consensus TGACC, failing to reconstitute a full palindromic element. ALGGEN PROMO predicted binding of ER</w:t>
      </w:r>
      <w:r w:rsidRPr="00BE243E">
        <w:rPr>
          <w:color w:val="000000" w:themeColor="text1"/>
          <w:sz w:val="22"/>
          <w:szCs w:val="22"/>
        </w:rPr>
        <w:t>α</w:t>
      </w:r>
      <w:r w:rsidRPr="00BE243E">
        <w:rPr>
          <w:color w:val="000000" w:themeColor="text1"/>
          <w:sz w:val="22"/>
          <w:szCs w:val="22"/>
          <w:lang w:val="en-GB"/>
        </w:rPr>
        <w:t xml:space="preserve"> only (T00261; recognized sequence GGGGTCAG; dissimilarity 2.64%; RE equality 0.00325), with no ER</w:t>
      </w:r>
      <w:r w:rsidRPr="00BE243E">
        <w:rPr>
          <w:color w:val="000000" w:themeColor="text1"/>
          <w:sz w:val="22"/>
          <w:szCs w:val="22"/>
        </w:rPr>
        <w:t>β</w:t>
      </w:r>
      <w:r w:rsidRPr="00BE243E">
        <w:rPr>
          <w:color w:val="000000" w:themeColor="text1"/>
          <w:sz w:val="22"/>
          <w:szCs w:val="22"/>
          <w:lang w:val="en-GB"/>
        </w:rPr>
        <w:t xml:space="preserve"> binding site predicted at the ≤5% dissimilarity threshold. The absence of ER</w:t>
      </w:r>
      <w:r w:rsidRPr="00BE243E">
        <w:rPr>
          <w:color w:val="000000" w:themeColor="text1"/>
          <w:sz w:val="22"/>
          <w:szCs w:val="22"/>
        </w:rPr>
        <w:t>β</w:t>
      </w:r>
      <w:r w:rsidRPr="00BE243E">
        <w:rPr>
          <w:color w:val="000000" w:themeColor="text1"/>
          <w:sz w:val="22"/>
          <w:szCs w:val="22"/>
          <w:lang w:val="en-GB"/>
        </w:rPr>
        <w:t xml:space="preserve"> recognition, combined with the incomplete palindromic structure and the more distal position relative to the TSS (−1241 vs −401 for FAAH), provides a molecular rationale for the weaker and non-significant sex difference in NAAA expression observed experimentally (mRNA: 1.46×, p = 0.232; protein: 2.49×, p = 0.128; Supplementary Fig. S3). </w:t>
      </w:r>
    </w:p>
    <w:p w14:paraId="46B275C1" w14:textId="77777777" w:rsidR="00BD3241" w:rsidRDefault="00BD3241">
      <w:pPr>
        <w:pStyle w:val="Titolo1"/>
        <w:spacing w:before="360" w:after="200"/>
        <w:rPr>
          <w:b/>
          <w:bCs/>
          <w:sz w:val="28"/>
          <w:szCs w:val="28"/>
          <w:lang w:val="en-GB"/>
        </w:rPr>
      </w:pPr>
    </w:p>
    <w:p w14:paraId="3A099117" w14:textId="77777777" w:rsidR="00BD3241" w:rsidRDefault="00BD3241">
      <w:pPr>
        <w:pStyle w:val="Titolo1"/>
        <w:spacing w:before="360" w:after="200"/>
        <w:rPr>
          <w:b/>
          <w:bCs/>
          <w:sz w:val="28"/>
          <w:szCs w:val="28"/>
          <w:lang w:val="en-GB"/>
        </w:rPr>
      </w:pPr>
    </w:p>
    <w:p w14:paraId="29BB5D27" w14:textId="77777777" w:rsidR="00BD3241" w:rsidRDefault="00BD3241">
      <w:pPr>
        <w:pStyle w:val="Titolo1"/>
        <w:spacing w:before="360" w:after="200"/>
        <w:rPr>
          <w:b/>
          <w:bCs/>
          <w:sz w:val="28"/>
          <w:szCs w:val="28"/>
          <w:lang w:val="en-GB"/>
        </w:rPr>
      </w:pPr>
    </w:p>
    <w:p w14:paraId="2D574375" w14:textId="77777777" w:rsidR="00BD3241" w:rsidRDefault="00BD3241">
      <w:pPr>
        <w:pStyle w:val="Titolo1"/>
        <w:spacing w:before="360" w:after="200"/>
        <w:rPr>
          <w:b/>
          <w:bCs/>
          <w:sz w:val="28"/>
          <w:szCs w:val="28"/>
          <w:lang w:val="en-GB"/>
        </w:rPr>
      </w:pPr>
    </w:p>
    <w:p w14:paraId="7A093DE1" w14:textId="77777777" w:rsidR="00BD3241" w:rsidRDefault="00BD3241">
      <w:pPr>
        <w:pStyle w:val="Titolo1"/>
        <w:spacing w:before="360" w:after="200"/>
        <w:rPr>
          <w:b/>
          <w:bCs/>
          <w:sz w:val="28"/>
          <w:szCs w:val="28"/>
          <w:lang w:val="en-GB"/>
        </w:rPr>
      </w:pPr>
    </w:p>
    <w:p w14:paraId="10A30F0B" w14:textId="77777777" w:rsidR="00BD3241" w:rsidRDefault="00BD3241">
      <w:pPr>
        <w:pStyle w:val="Titolo1"/>
        <w:spacing w:before="360" w:after="200"/>
        <w:rPr>
          <w:b/>
          <w:bCs/>
          <w:sz w:val="28"/>
          <w:szCs w:val="28"/>
          <w:lang w:val="en-GB"/>
        </w:rPr>
      </w:pPr>
    </w:p>
    <w:p w14:paraId="3362F29B" w14:textId="77777777" w:rsidR="00BD3241" w:rsidRDefault="00BD3241">
      <w:pPr>
        <w:pStyle w:val="Titolo1"/>
        <w:spacing w:before="360" w:after="200"/>
        <w:rPr>
          <w:b/>
          <w:bCs/>
          <w:sz w:val="28"/>
          <w:szCs w:val="28"/>
          <w:lang w:val="en-GB"/>
        </w:rPr>
      </w:pPr>
    </w:p>
    <w:p w14:paraId="28FB98C7" w14:textId="77777777" w:rsidR="000E40D9" w:rsidRDefault="000E40D9">
      <w:pPr>
        <w:pStyle w:val="Titolo1"/>
        <w:spacing w:before="360" w:after="200"/>
        <w:rPr>
          <w:b/>
          <w:bCs/>
          <w:sz w:val="28"/>
          <w:szCs w:val="28"/>
          <w:lang w:val="en-GB"/>
        </w:rPr>
      </w:pPr>
    </w:p>
    <w:p w14:paraId="4975AD19" w14:textId="4B4B7606" w:rsidR="00383CAB" w:rsidRPr="000E40D9" w:rsidRDefault="00000000">
      <w:pPr>
        <w:pStyle w:val="Titolo1"/>
        <w:spacing w:before="360" w:after="200"/>
        <w:rPr>
          <w:b/>
          <w:bCs/>
          <w:color w:val="000000" w:themeColor="text1"/>
          <w:lang w:val="en-GB"/>
        </w:rPr>
      </w:pPr>
      <w:r w:rsidRPr="000E40D9">
        <w:rPr>
          <w:b/>
          <w:bCs/>
          <w:color w:val="000000" w:themeColor="text1"/>
          <w:sz w:val="28"/>
          <w:szCs w:val="28"/>
          <w:lang w:val="en-GB"/>
        </w:rPr>
        <w:t>Supplementary Methods</w:t>
      </w:r>
    </w:p>
    <w:p w14:paraId="427E6EA0" w14:textId="77777777" w:rsidR="00383CAB" w:rsidRPr="000E40D9" w:rsidRDefault="00000000">
      <w:pPr>
        <w:pStyle w:val="Titolo2"/>
        <w:spacing w:before="360" w:after="200"/>
        <w:rPr>
          <w:color w:val="000000" w:themeColor="text1"/>
          <w:lang w:val="en-GB"/>
        </w:rPr>
      </w:pPr>
      <w:r w:rsidRPr="000E40D9">
        <w:rPr>
          <w:b/>
          <w:bCs/>
          <w:color w:val="000000" w:themeColor="text1"/>
          <w:sz w:val="24"/>
          <w:szCs w:val="24"/>
          <w:lang w:val="en-GB"/>
        </w:rPr>
        <w:t>Animals</w:t>
      </w:r>
    </w:p>
    <w:p w14:paraId="0766C21A" w14:textId="77777777" w:rsidR="00383CAB" w:rsidRPr="00BD3241" w:rsidRDefault="00000000" w:rsidP="00F317B8">
      <w:pPr>
        <w:spacing w:after="120" w:line="360" w:lineRule="auto"/>
        <w:jc w:val="both"/>
        <w:rPr>
          <w:lang w:val="en-GB"/>
        </w:rPr>
      </w:pPr>
      <w:r w:rsidRPr="00BD3241">
        <w:rPr>
          <w:lang w:val="en-GB"/>
        </w:rPr>
        <w:t xml:space="preserve">All experimental procedures were performed in strict compliance with the ARRIVE guidelines and carried out according to the European Guidelines for Animal Research (2010/63/EU, Protocol: Maccarrone 421-2019-PR) and following the regulations set forth by the Italian Ministry of Health (L.D.26/2014). Transgenic Tg2576 mice and their wild-type (WT) counterparts were housed in the conventional animal facility of the IRCCS Santa Lucia Foundation (Rome, Italy) with food and water available </w:t>
      </w:r>
      <w:r w:rsidRPr="00BD3241">
        <w:rPr>
          <w:i/>
          <w:iCs/>
          <w:lang w:val="en-GB"/>
        </w:rPr>
        <w:t>ad libitum</w:t>
      </w:r>
      <w:r w:rsidRPr="00BD3241">
        <w:rPr>
          <w:lang w:val="en-GB"/>
        </w:rPr>
        <w:t>, under a 12 h light/dark cycle, controlled temperature (22–23°C), and humidity (60 ± 5%), group-housed (3–4 mice/cage). Male transgenic Tg2576 mice expressing the mutated APP bearing the Swedish K670N/M671L mutation were generated by crossing hemizygous males (Tg2576-F0) with C57BL/6J/SJL-F0 hybrid females. Genotyping was performed between 20 and 25 days of age via PCR analysis of tail biopsies. For the present study, female Tg2576 and WT mice were generated using the identical breeding and genotyping scheme described for males in our previous work [6].</w:t>
      </w:r>
    </w:p>
    <w:p w14:paraId="0C3107FC" w14:textId="77777777" w:rsidR="00383CAB" w:rsidRPr="00E74EDC" w:rsidRDefault="00000000">
      <w:pPr>
        <w:pStyle w:val="Titolo2"/>
        <w:spacing w:before="360" w:after="200"/>
        <w:rPr>
          <w:color w:val="000000" w:themeColor="text1"/>
          <w:lang w:val="en-GB"/>
        </w:rPr>
      </w:pPr>
      <w:r w:rsidRPr="00E74EDC">
        <w:rPr>
          <w:b/>
          <w:bCs/>
          <w:color w:val="000000" w:themeColor="text1"/>
          <w:sz w:val="24"/>
          <w:szCs w:val="24"/>
          <w:lang w:val="en-GB"/>
        </w:rPr>
        <w:t>Palmitoylethanolamide chronic delivery</w:t>
      </w:r>
    </w:p>
    <w:p w14:paraId="500C0C4A" w14:textId="77777777" w:rsidR="00383CAB" w:rsidRPr="00BD3241" w:rsidRDefault="00000000" w:rsidP="00F317B8">
      <w:pPr>
        <w:spacing w:after="120" w:line="360" w:lineRule="auto"/>
        <w:jc w:val="both"/>
        <w:rPr>
          <w:lang w:val="en-GB"/>
        </w:rPr>
      </w:pPr>
      <w:r w:rsidRPr="00BD3241">
        <w:rPr>
          <w:lang w:val="en-GB"/>
        </w:rPr>
        <w:t>The chronic PEA delivery protocol was identical to that described in [6]. Briefly, 90-day slow-release drug pellets loaded with ultra-micronized PEA (UM-PEA) were subcutaneously implanted in female Tg2576 and WT mice (Innovative Research of America, IRA, Sarasota, FL, USA). Each pellet delivered 80 mg UM-PEA over 90 days, corresponding to approximately 0.88 mg/day (~30 mg/kg). Mice were implanted twice (at treatment day 0 and day 90) to achieve 180 days of continuous delivery, from 6 to 12 months of age. Control animals received placebo pellets of identical composition lacking the active compound. The surgical implantation procedure, including anesthesia (ketamine/xylazine), pellet placement, and post-operative monitoring, was performed as previously described [6].</w:t>
      </w:r>
    </w:p>
    <w:p w14:paraId="79404021" w14:textId="77777777" w:rsidR="00383CAB" w:rsidRPr="00F317B8" w:rsidRDefault="00000000">
      <w:pPr>
        <w:pStyle w:val="Titolo2"/>
        <w:spacing w:before="360" w:after="200"/>
        <w:rPr>
          <w:color w:val="000000" w:themeColor="text1"/>
          <w:lang w:val="en-GB"/>
        </w:rPr>
      </w:pPr>
      <w:r w:rsidRPr="00F317B8">
        <w:rPr>
          <w:b/>
          <w:bCs/>
          <w:color w:val="000000" w:themeColor="text1"/>
          <w:sz w:val="24"/>
          <w:szCs w:val="24"/>
          <w:lang w:val="en-GB"/>
        </w:rPr>
        <w:t>Novel Object Recognition (NOR) Test</w:t>
      </w:r>
    </w:p>
    <w:p w14:paraId="30E93C9B" w14:textId="77777777" w:rsidR="00383CAB" w:rsidRPr="00BD3241" w:rsidRDefault="00000000" w:rsidP="00F317B8">
      <w:pPr>
        <w:spacing w:after="120" w:line="360" w:lineRule="auto"/>
        <w:jc w:val="both"/>
        <w:rPr>
          <w:lang w:val="en-GB"/>
        </w:rPr>
      </w:pPr>
      <w:r w:rsidRPr="00BD3241">
        <w:rPr>
          <w:lang w:val="en-GB"/>
        </w:rPr>
        <w:t xml:space="preserve">Recognition memory was assessed using the NOR test as described in [6]. The experimental apparatus comprised a square transparent Plexiglas chamber (48.5 × 48.5 × 24.5 cm). The protocol encompassed three 5-minute phases: habituation, training (two identical objects), and </w:t>
      </w:r>
      <w:r w:rsidRPr="00BD3241">
        <w:rPr>
          <w:lang w:val="en-GB"/>
        </w:rPr>
        <w:lastRenderedPageBreak/>
        <w:t>test trial (one familiar + one novel object) separated by a 1-hour delay. The Novelty Preference Index was calculated as: (time exploring novel object / time exploring both objects) × 100. Motor parameters (mean velocity and total distance) were recorded during habituation, and object exploration duration was evaluated during training to exclude spatial or object preference bias. Each trial was recorded and analyzed using EthoVision XT (Noldus, Netherlands).</w:t>
      </w:r>
    </w:p>
    <w:p w14:paraId="7EC6E1A5" w14:textId="77777777" w:rsidR="00383CAB" w:rsidRPr="00F317B8" w:rsidRDefault="00000000">
      <w:pPr>
        <w:pStyle w:val="Titolo2"/>
        <w:spacing w:before="360" w:after="200"/>
        <w:rPr>
          <w:color w:val="000000" w:themeColor="text1"/>
          <w:lang w:val="en-GB"/>
        </w:rPr>
      </w:pPr>
      <w:r w:rsidRPr="00F317B8">
        <w:rPr>
          <w:b/>
          <w:bCs/>
          <w:color w:val="000000" w:themeColor="text1"/>
          <w:sz w:val="24"/>
          <w:szCs w:val="24"/>
          <w:lang w:val="en-GB"/>
        </w:rPr>
        <w:t>Golgi-Cox staining and dendritic spine density analysis</w:t>
      </w:r>
    </w:p>
    <w:p w14:paraId="2ECB60E4" w14:textId="77777777" w:rsidR="00383CAB" w:rsidRPr="00BD3241" w:rsidRDefault="00000000" w:rsidP="00F317B8">
      <w:pPr>
        <w:spacing w:after="120" w:line="360" w:lineRule="auto"/>
        <w:jc w:val="both"/>
        <w:rPr>
          <w:lang w:val="en-GB"/>
        </w:rPr>
      </w:pPr>
      <w:r w:rsidRPr="00BD3241">
        <w:rPr>
          <w:lang w:val="en-GB"/>
        </w:rPr>
        <w:t xml:space="preserve">Golgi-Cox staining was performed using the FD Rapid GolgiStain™ Kit (FD NeuroTechnologies, Columbia, MD, USA) following the manufacturer’s protocol, as described in [6]. Brains were immersed in impregnation solution for 14 days, transferred to solution C for 72 h, then frozen and sliced at 100 </w:t>
      </w:r>
      <w:r>
        <w:t>μ</w:t>
      </w:r>
      <w:r w:rsidRPr="00BD3241">
        <w:rPr>
          <w:lang w:val="en-GB"/>
        </w:rPr>
        <w:t xml:space="preserve">m thickness using a cryostat. Hippocampal sections (AP: −1.22 to −2.30 mm from bregma) were mounted, stained, dehydrated, and coverslipped. Dendritic spine density was quantified in pyramidal neurons of hippocampal CA1 using an optical microscope (Axio Imager M2, Zeiss) equipped with Neurolucida 2020.1.2 software (MicroBright-Field), with a 100× oil-immersion objective. For each experimental group, 40 dendritic segments (20–25 </w:t>
      </w:r>
      <w:r>
        <w:t>μ</w:t>
      </w:r>
      <w:r w:rsidRPr="00BD3241">
        <w:rPr>
          <w:lang w:val="en-GB"/>
        </w:rPr>
        <w:t xml:space="preserve">m in length) were acquired, comprising 20 basal and 20 apical dendritic segments (2 mice × 10 neurons per mouse). Spine density was calculated as the number of spines per </w:t>
      </w:r>
      <w:r>
        <w:t>μ</w:t>
      </w:r>
      <w:r w:rsidRPr="00BD3241">
        <w:rPr>
          <w:lang w:val="en-GB"/>
        </w:rPr>
        <w:t>m of dendrite length.</w:t>
      </w:r>
    </w:p>
    <w:p w14:paraId="4B50DEAC" w14:textId="77777777" w:rsidR="00383CAB" w:rsidRPr="00E74EDC" w:rsidRDefault="00000000">
      <w:pPr>
        <w:pStyle w:val="Titolo2"/>
        <w:spacing w:before="360" w:after="200"/>
        <w:rPr>
          <w:color w:val="000000" w:themeColor="text1"/>
          <w:lang w:val="en-GB"/>
        </w:rPr>
      </w:pPr>
      <w:r w:rsidRPr="00E74EDC">
        <w:rPr>
          <w:b/>
          <w:bCs/>
          <w:color w:val="000000" w:themeColor="text1"/>
          <w:sz w:val="24"/>
          <w:szCs w:val="24"/>
          <w:lang w:val="en-GB"/>
        </w:rPr>
        <w:t>Western blot analysis</w:t>
      </w:r>
    </w:p>
    <w:p w14:paraId="787B5023" w14:textId="0EB1E56A" w:rsidR="00383CAB" w:rsidRDefault="00000000" w:rsidP="00E74EDC">
      <w:pPr>
        <w:spacing w:after="120" w:line="360" w:lineRule="auto"/>
        <w:jc w:val="both"/>
        <w:rPr>
          <w:lang w:val="en-GB"/>
        </w:rPr>
      </w:pPr>
      <w:r w:rsidRPr="00BD3241">
        <w:rPr>
          <w:lang w:val="en-GB"/>
        </w:rPr>
        <w:t xml:space="preserve">Western blot analysis was performed as described in [6]. Frozen hippocampal samples were lysed in ice-cold lysis buffer (10 mM EDTA, 50 mM Tris–HCl, pH 7.4, 150 mM NaCl, 1% Triton-X-100) with protease and phosphatase inhibitors, sonicated, and centrifuged. Equal amounts of protein (50 </w:t>
      </w:r>
      <w:r>
        <w:t>μ</w:t>
      </w:r>
      <w:r w:rsidRPr="00BD3241">
        <w:rPr>
          <w:lang w:val="en-GB"/>
        </w:rPr>
        <w:t>g) were loaded onto 10% SDS-PAGE gels and transferred to PVDF membranes. Membranes were blocked with 5% nonfat dried milk for 1 h and incubated overnight at 4°C with primary antibodies: anti-FAAH (rabbit polyclonal, 1:500; ab54615, Abcam), anti-NAAA (rabbit polyclonal, 1:500</w:t>
      </w:r>
      <w:r w:rsidR="00E74EDC">
        <w:rPr>
          <w:lang w:val="en-GB"/>
        </w:rPr>
        <w:t>, Abnova</w:t>
      </w:r>
      <w:r w:rsidRPr="00BD3241">
        <w:rPr>
          <w:lang w:val="en-GB"/>
        </w:rPr>
        <w:t>), anti-</w:t>
      </w:r>
      <w:r>
        <w:t>β</w:t>
      </w:r>
      <w:r w:rsidRPr="00BD3241">
        <w:rPr>
          <w:lang w:val="en-GB"/>
        </w:rPr>
        <w:t xml:space="preserve">-Actin (mouse monoclonal, 1:1000; A5441, Sigma Aldrich). Detection was performed using peroxidase-conjugated secondary antibodies and chemiluminescence (Lightwave Plus, GVS). Optical densities were measured using Image Studio Software 4.0.21 (LI-COR), and mean ratios between target proteins and </w:t>
      </w:r>
      <w:r>
        <w:t>β</w:t>
      </w:r>
      <w:r w:rsidRPr="00BD3241">
        <w:rPr>
          <w:lang w:val="en-GB"/>
        </w:rPr>
        <w:t>-actin were reported.</w:t>
      </w:r>
    </w:p>
    <w:p w14:paraId="70841FC8" w14:textId="77777777" w:rsidR="00E74EDC" w:rsidRDefault="00E74EDC" w:rsidP="00E74EDC">
      <w:pPr>
        <w:spacing w:after="120" w:line="360" w:lineRule="auto"/>
        <w:jc w:val="both"/>
        <w:rPr>
          <w:lang w:val="en-GB"/>
        </w:rPr>
      </w:pPr>
    </w:p>
    <w:p w14:paraId="5BA9D627" w14:textId="77777777" w:rsidR="00E74EDC" w:rsidRPr="00BD3241" w:rsidRDefault="00E74EDC" w:rsidP="00E74EDC">
      <w:pPr>
        <w:spacing w:after="120" w:line="360" w:lineRule="auto"/>
        <w:jc w:val="both"/>
        <w:rPr>
          <w:lang w:val="en-GB"/>
        </w:rPr>
      </w:pPr>
    </w:p>
    <w:p w14:paraId="2DBE3EE2" w14:textId="77777777" w:rsidR="00383CAB" w:rsidRDefault="00000000">
      <w:pPr>
        <w:pStyle w:val="Titolo2"/>
        <w:spacing w:before="360" w:after="200"/>
        <w:rPr>
          <w:b/>
          <w:bCs/>
          <w:color w:val="000000" w:themeColor="text1"/>
          <w:sz w:val="24"/>
          <w:szCs w:val="24"/>
          <w:lang w:val="en-GB"/>
        </w:rPr>
      </w:pPr>
      <w:r w:rsidRPr="002332D7">
        <w:rPr>
          <w:b/>
          <w:bCs/>
          <w:color w:val="000000" w:themeColor="text1"/>
          <w:sz w:val="24"/>
          <w:szCs w:val="24"/>
          <w:lang w:val="en-GB"/>
        </w:rPr>
        <w:t>Quantitative RT-PCR</w:t>
      </w:r>
    </w:p>
    <w:p w14:paraId="58A4E63A" w14:textId="5E86A994" w:rsidR="003C5DCE" w:rsidRPr="003C5DCE" w:rsidRDefault="003C5DCE" w:rsidP="003C5DCE">
      <w:pPr>
        <w:pStyle w:val="Titolo2"/>
        <w:spacing w:before="360" w:after="200" w:line="360" w:lineRule="auto"/>
        <w:jc w:val="both"/>
        <w:rPr>
          <w:color w:val="000000" w:themeColor="text1"/>
          <w:sz w:val="24"/>
          <w:szCs w:val="24"/>
          <w:lang w:val="en-GB"/>
        </w:rPr>
      </w:pPr>
      <w:r w:rsidRPr="003C5DCE">
        <w:rPr>
          <w:color w:val="000000" w:themeColor="text1"/>
          <w:sz w:val="24"/>
          <w:szCs w:val="24"/>
          <w:lang w:val="en-GB"/>
        </w:rPr>
        <w:t xml:space="preserve">Total RNA was extracted with a ReliaPrep RNA Miniprep System kit (Promega, Milan, Italy). SuperScript IV VILO Reverse Transcriptase (Invitrogen, Monza, Italy) was used for cDNA synthesis. Transcripts were quantified by qRT‐PCR using a StepOne Real‐Time PCR System sequence detector (Applied Biosystems, Monza, Italy). The predesigned TaqMan Gene Expression Assays probes used were all obtained from Applied Biosystems and are specified in </w:t>
      </w:r>
      <w:r w:rsidRPr="003C5DCE">
        <w:rPr>
          <w:color w:val="EE0000"/>
          <w:sz w:val="24"/>
          <w:szCs w:val="24"/>
          <w:lang w:val="en-GB"/>
        </w:rPr>
        <w:t xml:space="preserve">Table 1. </w:t>
      </w:r>
      <w:r w:rsidRPr="003C5DCE">
        <w:rPr>
          <w:color w:val="000000" w:themeColor="text1"/>
          <w:sz w:val="24"/>
          <w:szCs w:val="24"/>
          <w:lang w:val="en-GB"/>
        </w:rPr>
        <w:t>The relative expression of different amplicons was calculated by the Delta–Delta Ct (ΔΔCT) method and converted to 2−ΔΔCt for statistical analysis</w:t>
      </w:r>
    </w:p>
    <w:p w14:paraId="09FF5DA8" w14:textId="77777777" w:rsidR="00383CAB" w:rsidRDefault="00000000">
      <w:pPr>
        <w:pStyle w:val="Titolo2"/>
        <w:spacing w:before="360" w:after="200"/>
        <w:rPr>
          <w:b/>
          <w:bCs/>
          <w:color w:val="000000" w:themeColor="text1"/>
          <w:sz w:val="24"/>
          <w:szCs w:val="24"/>
          <w:lang w:val="en-GB"/>
        </w:rPr>
      </w:pPr>
      <w:r w:rsidRPr="002332D7">
        <w:rPr>
          <w:b/>
          <w:bCs/>
          <w:color w:val="000000" w:themeColor="text1"/>
          <w:sz w:val="24"/>
          <w:szCs w:val="24"/>
          <w:lang w:val="en-GB"/>
        </w:rPr>
        <w:t>FAAH enzymatic activity assay</w:t>
      </w:r>
    </w:p>
    <w:p w14:paraId="66F67EFB" w14:textId="7341A99A" w:rsidR="003C5DCE" w:rsidRPr="00316B9A" w:rsidRDefault="00316B9A" w:rsidP="00316B9A">
      <w:pPr>
        <w:pStyle w:val="Titolo2"/>
        <w:spacing w:before="360" w:after="200" w:line="360" w:lineRule="auto"/>
        <w:jc w:val="both"/>
        <w:rPr>
          <w:color w:val="000000" w:themeColor="text1"/>
          <w:sz w:val="24"/>
          <w:szCs w:val="24"/>
          <w:lang w:val="en-GB"/>
        </w:rPr>
      </w:pPr>
      <w:r w:rsidRPr="00316B9A">
        <w:rPr>
          <w:color w:val="000000" w:themeColor="text1"/>
          <w:sz w:val="24"/>
          <w:szCs w:val="24"/>
          <w:lang w:val="en-GB"/>
        </w:rPr>
        <w:t>FAAH enzymatic activity was measured in hippocampal homogenates from male and female Tg2576 mice (n = 4 per sex) using a fluorimetric assay based on the arachidonoyl-7-amino-4-methylcoumarinamide (AAMCA) substrate, as described by Angelucci</w:t>
      </w:r>
      <w:r>
        <w:rPr>
          <w:color w:val="000000" w:themeColor="text1"/>
          <w:sz w:val="24"/>
          <w:szCs w:val="24"/>
          <w:lang w:val="en-GB"/>
        </w:rPr>
        <w:t xml:space="preserve"> </w:t>
      </w:r>
      <w:r w:rsidRPr="00316B9A">
        <w:rPr>
          <w:i/>
          <w:iCs/>
          <w:color w:val="000000" w:themeColor="text1"/>
          <w:sz w:val="24"/>
          <w:szCs w:val="24"/>
          <w:lang w:val="en-GB"/>
        </w:rPr>
        <w:t>et al.</w:t>
      </w:r>
      <w:r w:rsidRPr="00316B9A">
        <w:rPr>
          <w:color w:val="000000" w:themeColor="text1"/>
          <w:sz w:val="24"/>
          <w:szCs w:val="24"/>
          <w:lang w:val="en-GB"/>
        </w:rPr>
        <w:t>. FAAH catalyzes the hydrolysis of AAMCA, releasing arachidonic acid and the highly fluorescent compound 7-amino-4-methylcoumarin (AMC). Briefly, hippocampal tissue was homogenized in ice-cold assay buffer (50 mM Tris-HCl, pH 9.0) containing protease inhibitors, and protein concentration was determined by BCA assay. Equal amounts of protein were incubated with AAMCA substrate at 37°C for 30 minutes. The reaction was terminated and the fluorescence of the released AMC was measured using a Varioskan Flash multimode plate reader (Thermo Fisher Scientific) at excitation/emission wavelengths of 355/460 nm. A standard curve of AMC was used to convert fluorescence values to pmol of hydrolyzed substrate. Enzymatic activity was expressed as pmol/min/mg protein. All measurements were performed in duplicate.</w:t>
      </w:r>
    </w:p>
    <w:p w14:paraId="5E2B90CA" w14:textId="77777777" w:rsidR="00383CAB" w:rsidRDefault="00000000">
      <w:pPr>
        <w:pStyle w:val="Titolo2"/>
        <w:spacing w:before="360" w:after="200"/>
        <w:rPr>
          <w:b/>
          <w:bCs/>
          <w:color w:val="000000" w:themeColor="text1"/>
          <w:sz w:val="24"/>
          <w:szCs w:val="24"/>
          <w:lang w:val="en-GB"/>
        </w:rPr>
      </w:pPr>
      <w:r w:rsidRPr="002332D7">
        <w:rPr>
          <w:b/>
          <w:bCs/>
          <w:color w:val="000000" w:themeColor="text1"/>
          <w:sz w:val="24"/>
          <w:szCs w:val="24"/>
          <w:lang w:val="en-GB"/>
        </w:rPr>
        <w:t>Bioinformatic analysis of estrogen-responsive elements</w:t>
      </w:r>
    </w:p>
    <w:p w14:paraId="75E429C7" w14:textId="36B471F4" w:rsidR="004C1832" w:rsidRPr="004C1832" w:rsidRDefault="004C1832" w:rsidP="004C1832">
      <w:pPr>
        <w:pStyle w:val="Titolo2"/>
        <w:spacing w:before="360" w:after="200" w:line="360" w:lineRule="auto"/>
        <w:jc w:val="both"/>
        <w:rPr>
          <w:color w:val="000000" w:themeColor="text1"/>
          <w:sz w:val="24"/>
          <w:szCs w:val="24"/>
          <w:lang w:val="en-GB"/>
        </w:rPr>
      </w:pPr>
      <w:r w:rsidRPr="004C1832">
        <w:rPr>
          <w:color w:val="000000" w:themeColor="text1"/>
          <w:sz w:val="24"/>
          <w:szCs w:val="24"/>
          <w:lang w:val="en-GB"/>
        </w:rPr>
        <w:t xml:space="preserve">Promoter sequences of the mouse Faah (transcript Faah-201, ENSMUST00000049095.6; chromosome 4: 115,024,342–115,075,123, reverse strand) and Naaa (transcript Naaa-201, ENSMUST00000113102.10; chromosome 5: 92,405,518–92,426,029, reverse strand) genes were retrieved from Ensembl (genome assembly GRCm39). For each gene, the 2 kb region upstream of the annotated transcription start site was extracted and manually inspected for the presence of estrogen-responsive elements (EREs), defined as sequences matching or closely </w:t>
      </w:r>
      <w:r w:rsidRPr="004C1832">
        <w:rPr>
          <w:color w:val="000000" w:themeColor="text1"/>
          <w:sz w:val="24"/>
          <w:szCs w:val="24"/>
          <w:lang w:val="en-GB"/>
        </w:rPr>
        <w:lastRenderedPageBreak/>
        <w:t xml:space="preserve">resembling the canonical palindromic ERE consensus (5′-GGTCAnnnTGACC-3′) or its half-site variants (GGTCA forward, TGACC reverse). Identified ERE-containing sequences were then submitted to the ALGGEN PROMO tool (version 3.0.2; </w:t>
      </w:r>
      <w:hyperlink r:id="rId9" w:history="1">
        <w:r w:rsidRPr="004C1832">
          <w:rPr>
            <w:rStyle w:val="Collegamentoipertestuale"/>
            <w:sz w:val="24"/>
            <w:szCs w:val="24"/>
            <w:lang w:val="en-GB"/>
          </w:rPr>
          <w:t>http://alggen.lsi.upc.es</w:t>
        </w:r>
      </w:hyperlink>
      <w:r w:rsidRPr="004C1832">
        <w:rPr>
          <w:color w:val="000000" w:themeColor="text1"/>
          <w:sz w:val="24"/>
          <w:szCs w:val="24"/>
          <w:lang w:val="en-GB"/>
        </w:rPr>
        <w:t>) for transcription factor binding site prediction, using the TRANSFAC database (release 2017) with a maximum dissimilarity threshold of 5%. Both ER</w:t>
      </w:r>
      <w:r w:rsidRPr="004C1832">
        <w:rPr>
          <w:color w:val="000000" w:themeColor="text1"/>
          <w:sz w:val="24"/>
          <w:szCs w:val="24"/>
        </w:rPr>
        <w:t>α</w:t>
      </w:r>
      <w:r w:rsidRPr="004C1832">
        <w:rPr>
          <w:color w:val="000000" w:themeColor="text1"/>
          <w:sz w:val="24"/>
          <w:szCs w:val="24"/>
          <w:lang w:val="en-GB"/>
        </w:rPr>
        <w:t xml:space="preserve"> (TRANSFAC accession T00261, Homo sapiens) and ER</w:t>
      </w:r>
      <w:r w:rsidRPr="004C1832">
        <w:rPr>
          <w:color w:val="000000" w:themeColor="text1"/>
          <w:sz w:val="24"/>
          <w:szCs w:val="24"/>
        </w:rPr>
        <w:t>β</w:t>
      </w:r>
      <w:r w:rsidRPr="004C1832">
        <w:rPr>
          <w:color w:val="000000" w:themeColor="text1"/>
          <w:sz w:val="24"/>
          <w:szCs w:val="24"/>
          <w:lang w:val="en-GB"/>
        </w:rPr>
        <w:t xml:space="preserve"> (T04651, Homo sapiens) position weight matrices were included in the analysis. The FAAH promoter, which contains a previously characterized ERE [7], was analyzed first as a positive control to validate the algorithm's sensitivity in detecting estrogen-responsive motifs. Results were cross-referenced with the original characterization by Waleh et al. [7] and the analysis by Maccarrone </w:t>
      </w:r>
      <w:r w:rsidRPr="004C1832">
        <w:rPr>
          <w:i/>
          <w:iCs/>
          <w:color w:val="000000" w:themeColor="text1"/>
          <w:sz w:val="24"/>
          <w:szCs w:val="24"/>
          <w:lang w:val="en-GB"/>
        </w:rPr>
        <w:t>et al.</w:t>
      </w:r>
      <w:r w:rsidRPr="004C1832">
        <w:rPr>
          <w:color w:val="000000" w:themeColor="text1"/>
          <w:sz w:val="24"/>
          <w:szCs w:val="24"/>
          <w:lang w:val="en-GB"/>
        </w:rPr>
        <w:t xml:space="preserve"> (J Biol Chem 2003; 278:13318–13324), noting that five of the six ERE variants originally described in the Faah promoter are no longer present in the current genome assembly (GRCm39), consistent with the extensive revisions to the mouse reference genome since the initial annotation (2002, MGSCv3 assembly)."</w:t>
      </w:r>
    </w:p>
    <w:p w14:paraId="6CAC4F0C" w14:textId="77777777" w:rsidR="00383CAB" w:rsidRPr="002332D7" w:rsidRDefault="00000000">
      <w:pPr>
        <w:pStyle w:val="Titolo2"/>
        <w:spacing w:before="360" w:after="200"/>
        <w:rPr>
          <w:b/>
          <w:bCs/>
          <w:color w:val="000000" w:themeColor="text1"/>
          <w:lang w:val="en-GB"/>
        </w:rPr>
      </w:pPr>
      <w:r w:rsidRPr="002332D7">
        <w:rPr>
          <w:b/>
          <w:bCs/>
          <w:color w:val="000000" w:themeColor="text1"/>
          <w:sz w:val="24"/>
          <w:szCs w:val="24"/>
          <w:lang w:val="en-GB"/>
        </w:rPr>
        <w:t>Statistical analysis</w:t>
      </w:r>
    </w:p>
    <w:p w14:paraId="29615E4C" w14:textId="77777777" w:rsidR="00383CAB" w:rsidRPr="00BD3241" w:rsidRDefault="00000000" w:rsidP="002332D7">
      <w:pPr>
        <w:spacing w:after="120" w:line="360" w:lineRule="auto"/>
        <w:jc w:val="both"/>
        <w:rPr>
          <w:lang w:val="en-GB"/>
        </w:rPr>
      </w:pPr>
      <w:r w:rsidRPr="00BD3241">
        <w:rPr>
          <w:lang w:val="en-GB"/>
        </w:rPr>
        <w:t xml:space="preserve">Data were analyzed using the R Statistical Package (version 4.4.0) within RStudio (version 2024.04.0+735). For endpoints with four experimental groups (NOR, spine density), data were analyzed using a two-way ANOVA with genotype and treatment as main factors, followed by Tukey’s test for multiple comparisons. For two-group comparisons between sexes (FAAH and NAAA expression), unpaired Student’s t-test or Mann–Whitney U test was used as appropriate based on data distribution. For the 3-NT analysis (Tg2576 groups only), unpaired t-tests were used. Cohen’s </w:t>
      </w:r>
      <w:r w:rsidRPr="00BD3241">
        <w:rPr>
          <w:i/>
          <w:iCs/>
          <w:lang w:val="en-GB"/>
        </w:rPr>
        <w:t>d</w:t>
      </w:r>
      <w:r w:rsidRPr="00BD3241">
        <w:rPr>
          <w:lang w:val="en-GB"/>
        </w:rPr>
        <w:t xml:space="preserve"> effect sizes were calculated for key treatment comparisons. Differences were considered significant at p &lt; 0.05. Data are reported as mean ± standard deviation (SD).</w:t>
      </w:r>
    </w:p>
    <w:p w14:paraId="0B045C6B" w14:textId="46B0F8B4" w:rsidR="00383CAB" w:rsidRPr="00BD3241" w:rsidRDefault="00383CAB" w:rsidP="002332D7">
      <w:pPr>
        <w:spacing w:after="120" w:line="360" w:lineRule="auto"/>
        <w:rPr>
          <w:lang w:val="en-GB"/>
        </w:rPr>
      </w:pPr>
    </w:p>
    <w:sectPr w:rsidR="00383CAB" w:rsidRPr="00BD32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3440B"/>
    <w:multiLevelType w:val="hybridMultilevel"/>
    <w:tmpl w:val="4FBC4A22"/>
    <w:lvl w:ilvl="0" w:tplc="56403EB0">
      <w:start w:val="1"/>
      <w:numFmt w:val="bullet"/>
      <w:lvlText w:val="●"/>
      <w:lvlJc w:val="left"/>
      <w:pPr>
        <w:ind w:left="720" w:hanging="360"/>
      </w:pPr>
    </w:lvl>
    <w:lvl w:ilvl="1" w:tplc="498045A6">
      <w:start w:val="1"/>
      <w:numFmt w:val="bullet"/>
      <w:lvlText w:val="○"/>
      <w:lvlJc w:val="left"/>
      <w:pPr>
        <w:ind w:left="1440" w:hanging="360"/>
      </w:pPr>
    </w:lvl>
    <w:lvl w:ilvl="2" w:tplc="856A9F04">
      <w:start w:val="1"/>
      <w:numFmt w:val="bullet"/>
      <w:lvlText w:val="■"/>
      <w:lvlJc w:val="left"/>
      <w:pPr>
        <w:ind w:left="2160" w:hanging="360"/>
      </w:pPr>
    </w:lvl>
    <w:lvl w:ilvl="3" w:tplc="0660FEDA">
      <w:start w:val="1"/>
      <w:numFmt w:val="bullet"/>
      <w:lvlText w:val="●"/>
      <w:lvlJc w:val="left"/>
      <w:pPr>
        <w:ind w:left="2880" w:hanging="360"/>
      </w:pPr>
    </w:lvl>
    <w:lvl w:ilvl="4" w:tplc="854C1544">
      <w:start w:val="1"/>
      <w:numFmt w:val="bullet"/>
      <w:lvlText w:val="○"/>
      <w:lvlJc w:val="left"/>
      <w:pPr>
        <w:ind w:left="3600" w:hanging="360"/>
      </w:pPr>
    </w:lvl>
    <w:lvl w:ilvl="5" w:tplc="59DE1E06">
      <w:start w:val="1"/>
      <w:numFmt w:val="bullet"/>
      <w:lvlText w:val="■"/>
      <w:lvlJc w:val="left"/>
      <w:pPr>
        <w:ind w:left="4320" w:hanging="360"/>
      </w:pPr>
    </w:lvl>
    <w:lvl w:ilvl="6" w:tplc="1ED66556">
      <w:start w:val="1"/>
      <w:numFmt w:val="bullet"/>
      <w:lvlText w:val="●"/>
      <w:lvlJc w:val="left"/>
      <w:pPr>
        <w:ind w:left="5040" w:hanging="360"/>
      </w:pPr>
    </w:lvl>
    <w:lvl w:ilvl="7" w:tplc="15442900">
      <w:start w:val="1"/>
      <w:numFmt w:val="bullet"/>
      <w:lvlText w:val="●"/>
      <w:lvlJc w:val="left"/>
      <w:pPr>
        <w:ind w:left="5760" w:hanging="360"/>
      </w:pPr>
    </w:lvl>
    <w:lvl w:ilvl="8" w:tplc="3D50AFB6">
      <w:start w:val="1"/>
      <w:numFmt w:val="bullet"/>
      <w:lvlText w:val="●"/>
      <w:lvlJc w:val="left"/>
      <w:pPr>
        <w:ind w:left="6480" w:hanging="360"/>
      </w:pPr>
    </w:lvl>
  </w:abstractNum>
  <w:num w:numId="1" w16cid:durableId="620187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AB"/>
    <w:rsid w:val="000B746C"/>
    <w:rsid w:val="000E40D9"/>
    <w:rsid w:val="002162E3"/>
    <w:rsid w:val="002300E0"/>
    <w:rsid w:val="00232620"/>
    <w:rsid w:val="002332D7"/>
    <w:rsid w:val="00316B9A"/>
    <w:rsid w:val="00323B06"/>
    <w:rsid w:val="003333FB"/>
    <w:rsid w:val="00383CAB"/>
    <w:rsid w:val="003C5DCE"/>
    <w:rsid w:val="003D6B87"/>
    <w:rsid w:val="003F1025"/>
    <w:rsid w:val="004B10D6"/>
    <w:rsid w:val="004C1832"/>
    <w:rsid w:val="00531AE7"/>
    <w:rsid w:val="00536D92"/>
    <w:rsid w:val="005910A5"/>
    <w:rsid w:val="00697318"/>
    <w:rsid w:val="00771E37"/>
    <w:rsid w:val="0086488D"/>
    <w:rsid w:val="00A752C8"/>
    <w:rsid w:val="00B01A25"/>
    <w:rsid w:val="00BB52F9"/>
    <w:rsid w:val="00BD3241"/>
    <w:rsid w:val="00BE243E"/>
    <w:rsid w:val="00C87D02"/>
    <w:rsid w:val="00CB6932"/>
    <w:rsid w:val="00D91135"/>
    <w:rsid w:val="00E2518B"/>
    <w:rsid w:val="00E74EDC"/>
    <w:rsid w:val="00E777B2"/>
    <w:rsid w:val="00ED3C7A"/>
    <w:rsid w:val="00F0340F"/>
    <w:rsid w:val="00F317B8"/>
    <w:rsid w:val="00F60D0D"/>
    <w:rsid w:val="00FC2F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BB2D"/>
  <w15:docId w15:val="{D53D14D4-EA27-49D3-90BB-0B4A83E2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Standard">
    <w:name w:val="Standard"/>
    <w:rsid w:val="00BD3241"/>
    <w:pPr>
      <w:suppressAutoHyphens/>
      <w:autoSpaceDN w:val="0"/>
      <w:spacing w:after="160" w:line="360" w:lineRule="auto"/>
      <w:jc w:val="both"/>
      <w:textAlignment w:val="baseline"/>
    </w:pPr>
    <w:rPr>
      <w:rFonts w:ascii="Aptos" w:eastAsia="Aptos" w:hAnsi="Aptos" w:cs="Tahoma"/>
      <w:kern w:val="3"/>
      <w:sz w:val="22"/>
      <w:szCs w:val="22"/>
      <w:lang w:eastAsia="en-US"/>
    </w:rPr>
  </w:style>
  <w:style w:type="character" w:styleId="Menzionenonrisolta">
    <w:name w:val="Unresolved Mention"/>
    <w:basedOn w:val="Carpredefinitoparagrafo"/>
    <w:uiPriority w:val="99"/>
    <w:semiHidden/>
    <w:unhideWhenUsed/>
    <w:rsid w:val="004C1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3" Type="http://schemas.openxmlformats.org/officeDocument/2006/relationships/settings" Target="settings.xml"/><Relationship Id="rId7" Type="http://schemas.openxmlformats.org/officeDocument/2006/relationships/image" Target="media/image3.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theme" Target="theme/theme1.xml"/><Relationship Id="rId5" Type="http://schemas.openxmlformats.org/officeDocument/2006/relationships/image" Target="media/image1.tif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lggen.lsi.upc.es"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9</Pages>
  <Words>2130</Words>
  <Characters>12144</Characters>
  <Application>Microsoft Office Word</Application>
  <DocSecurity>0</DocSecurity>
  <Lines>101</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Oddi</cp:lastModifiedBy>
  <cp:revision>27</cp:revision>
  <dcterms:created xsi:type="dcterms:W3CDTF">2026-03-09T14:13:00Z</dcterms:created>
  <dcterms:modified xsi:type="dcterms:W3CDTF">2026-03-25T10:06:00Z</dcterms:modified>
</cp:coreProperties>
</file>