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jc w:val="center"/>
        <w:rPr>
          <w:b w:val="1"/>
          <w:sz w:val="52"/>
          <w:szCs w:val="52"/>
        </w:rPr>
      </w:pPr>
      <w:r w:rsidDel="00000000" w:rsidR="00000000" w:rsidRPr="00000000">
        <w:rPr>
          <w:b w:val="1"/>
          <w:sz w:val="52"/>
          <w:szCs w:val="52"/>
          <w:rtl w:val="0"/>
        </w:rPr>
        <w:t xml:space="preserve">Grado en Ingeniería Informática</w:t>
      </w:r>
    </w:p>
    <w:p w:rsidR="00000000" w:rsidDel="00000000" w:rsidP="00000000" w:rsidRDefault="00000000" w:rsidRPr="00000000" w14:paraId="00000002">
      <w:pPr>
        <w:spacing w:after="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before="200" w:line="240" w:lineRule="auto"/>
        <w:ind w:left="-15" w:firstLine="0"/>
        <w:rPr>
          <w:rFonts w:ascii="Times New Roman" w:cs="Times New Roman" w:eastAsia="Times New Roman" w:hAnsi="Times New Roman"/>
          <w:sz w:val="24"/>
          <w:szCs w:val="24"/>
        </w:rPr>
      </w:pPr>
      <w:r w:rsidDel="00000000" w:rsidR="00000000" w:rsidRPr="00000000">
        <w:rPr/>
        <w:drawing>
          <wp:inline distB="0" distT="0" distL="0" distR="0">
            <wp:extent cx="5400040" cy="167513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400040" cy="167513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200" w:line="240" w:lineRule="auto"/>
        <w:ind w:left="-1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60" w:line="240" w:lineRule="auto"/>
        <w:jc w:val="center"/>
        <w:rPr>
          <w:sz w:val="60"/>
          <w:szCs w:val="60"/>
        </w:rPr>
      </w:pPr>
      <w:r w:rsidDel="00000000" w:rsidR="00000000" w:rsidRPr="00000000">
        <w:rPr>
          <w:sz w:val="60"/>
          <w:szCs w:val="60"/>
          <w:rtl w:val="0"/>
        </w:rPr>
        <w:t xml:space="preserve">SISTEMAS DE AYUDA A LA DECISIÓN</w:t>
      </w:r>
    </w:p>
    <w:p w:rsidR="00000000" w:rsidDel="00000000" w:rsidP="00000000" w:rsidRDefault="00000000" w:rsidRPr="00000000" w14:paraId="00000007">
      <w:pPr>
        <w:spacing w:after="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20" w:before="400" w:line="240" w:lineRule="auto"/>
        <w:ind w:left="-15"/>
        <w:jc w:val="center"/>
        <w:rPr>
          <w:color w:val="999999"/>
          <w:sz w:val="56"/>
          <w:szCs w:val="56"/>
        </w:rPr>
      </w:pPr>
      <w:r w:rsidDel="00000000" w:rsidR="00000000" w:rsidRPr="00000000">
        <w:rPr>
          <w:color w:val="999999"/>
          <w:sz w:val="56"/>
          <w:szCs w:val="56"/>
          <w:rtl w:val="0"/>
        </w:rPr>
        <w:t xml:space="preserve">Práctica 6. AHP Sort II.</w:t>
      </w:r>
    </w:p>
    <w:p w:rsidR="00000000" w:rsidDel="00000000" w:rsidP="00000000" w:rsidRDefault="00000000" w:rsidRPr="00000000" w14:paraId="00000009">
      <w:pPr>
        <w:spacing w:after="120" w:before="400" w:line="240" w:lineRule="auto"/>
        <w:ind w:left="-15"/>
        <w:jc w:val="center"/>
        <w:rPr>
          <w:color w:val="999999"/>
          <w:sz w:val="56"/>
          <w:szCs w:val="56"/>
        </w:rPr>
      </w:pPr>
      <w:r w:rsidDel="00000000" w:rsidR="00000000" w:rsidRPr="00000000">
        <w:rPr>
          <w:color w:val="999999"/>
          <w:sz w:val="56"/>
          <w:szCs w:val="56"/>
          <w:rtl w:val="0"/>
        </w:rPr>
        <w:t xml:space="preserve">Mapas solicitados.</w:t>
      </w:r>
    </w:p>
    <w:p w:rsidR="00000000" w:rsidDel="00000000" w:rsidP="00000000" w:rsidRDefault="00000000" w:rsidRPr="00000000" w14:paraId="0000000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b w:val="1"/>
          <w:rtl w:val="0"/>
        </w:rPr>
        <w:t xml:space="preserve">Alumno:</w:t>
      </w:r>
      <w:r w:rsidDel="00000000" w:rsidR="00000000" w:rsidRPr="00000000">
        <w:rPr>
          <w:rtl w:val="0"/>
        </w:rPr>
        <w:t xml:space="preserve"> Sergio Perea de la Casa (</w:t>
      </w:r>
      <w:hyperlink r:id="rId7">
        <w:r w:rsidDel="00000000" w:rsidR="00000000" w:rsidRPr="00000000">
          <w:rPr>
            <w:b w:val="1"/>
            <w:color w:val="1155cc"/>
            <w:u w:val="single"/>
            <w:rtl w:val="0"/>
          </w:rPr>
          <w:t xml:space="preserve">spc00033@red.ujaen.es</w:t>
        </w:r>
      </w:hyperlink>
      <w:r w:rsidDel="00000000" w:rsidR="00000000" w:rsidRPr="00000000">
        <w:rPr>
          <w:rtl w:val="0"/>
        </w:rPr>
        <w:t xml:space="preserve">), </w:t>
      </w:r>
      <w:r w:rsidDel="00000000" w:rsidR="00000000" w:rsidRPr="00000000">
        <w:rPr>
          <w:b w:val="1"/>
          <w:rtl w:val="0"/>
        </w:rPr>
        <w:t xml:space="preserve">DNI: </w:t>
      </w:r>
      <w:r w:rsidDel="00000000" w:rsidR="00000000" w:rsidRPr="00000000">
        <w:rPr>
          <w:rtl w:val="0"/>
        </w:rPr>
        <w:t xml:space="preserve">77433569K.</w:t>
      </w:r>
      <w:r w:rsidDel="00000000" w:rsidR="00000000" w:rsidRPr="00000000">
        <w:rPr>
          <w:rtl w:val="0"/>
        </w:rPr>
      </w:r>
    </w:p>
    <w:p w:rsidR="00000000" w:rsidDel="00000000" w:rsidP="00000000" w:rsidRDefault="00000000" w:rsidRPr="00000000" w14:paraId="0000000C">
      <w:pPr>
        <w:spacing w:line="240" w:lineRule="auto"/>
        <w:jc w:val="center"/>
        <w:rPr>
          <w:b w:val="1"/>
        </w:rPr>
      </w:pPr>
      <w:r w:rsidDel="00000000" w:rsidR="00000000" w:rsidRPr="00000000">
        <w:rPr>
          <w:rtl w:val="0"/>
        </w:rPr>
      </w:r>
    </w:p>
    <w:p w:rsidR="00000000" w:rsidDel="00000000" w:rsidP="00000000" w:rsidRDefault="00000000" w:rsidRPr="00000000" w14:paraId="0000000D">
      <w:pPr>
        <w:spacing w:line="240" w:lineRule="auto"/>
        <w:jc w:val="center"/>
        <w:rPr>
          <w:b w:val="1"/>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b w:val="1"/>
          <w:rtl w:val="0"/>
        </w:rPr>
        <w:t xml:space="preserve">Profesor: </w:t>
      </w:r>
      <w:r w:rsidDel="00000000" w:rsidR="00000000" w:rsidRPr="00000000">
        <w:rPr>
          <w:rtl w:val="0"/>
        </w:rPr>
        <w:t xml:space="preserve"> Luis Martínez López (</w:t>
      </w:r>
      <w:hyperlink r:id="rId8">
        <w:r w:rsidDel="00000000" w:rsidR="00000000" w:rsidRPr="00000000">
          <w:rPr>
            <w:b w:val="1"/>
            <w:color w:val="0000ff"/>
            <w:highlight w:val="white"/>
            <w:u w:val="single"/>
            <w:rtl w:val="0"/>
          </w:rPr>
          <w:t xml:space="preserve">martin@ujaen.es</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5qgct5cdkpq2" w:id="0"/>
      <w:bookmarkEnd w:id="0"/>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uba463gfdyb7">
            <w:r w:rsidDel="00000000" w:rsidR="00000000" w:rsidRPr="00000000">
              <w:rPr>
                <w:b w:val="1"/>
                <w:rtl w:val="0"/>
              </w:rPr>
              <w:t xml:space="preserve">Breve explicación de color-clase</w:t>
            </w:r>
          </w:hyperlink>
          <w:r w:rsidDel="00000000" w:rsidR="00000000" w:rsidRPr="00000000">
            <w:rPr>
              <w:b w:val="1"/>
              <w:rtl w:val="0"/>
            </w:rPr>
            <w:tab/>
          </w:r>
          <w:r w:rsidDel="00000000" w:rsidR="00000000" w:rsidRPr="00000000">
            <w:fldChar w:fldCharType="begin"/>
            <w:instrText xml:space="preserve"> PAGEREF _uba463gfdyb7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pPr>
          <w:hyperlink w:anchor="_lmhoptns64hp">
            <w:r w:rsidDel="00000000" w:rsidR="00000000" w:rsidRPr="00000000">
              <w:rPr>
                <w:b w:val="1"/>
                <w:rtl w:val="0"/>
              </w:rPr>
              <w:t xml:space="preserve">Ejercicio 1</w:t>
            </w:r>
          </w:hyperlink>
          <w:r w:rsidDel="00000000" w:rsidR="00000000" w:rsidRPr="00000000">
            <w:rPr>
              <w:b w:val="1"/>
              <w:rtl w:val="0"/>
            </w:rPr>
            <w:tab/>
          </w:r>
          <w:r w:rsidDel="00000000" w:rsidR="00000000" w:rsidRPr="00000000">
            <w:fldChar w:fldCharType="begin"/>
            <w:instrText xml:space="preserve"> PAGEREF _lmhoptns64hp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pPr>
          <w:hyperlink w:anchor="_sp5nl8ijqq5l">
            <w:r w:rsidDel="00000000" w:rsidR="00000000" w:rsidRPr="00000000">
              <w:rPr>
                <w:b w:val="1"/>
                <w:rtl w:val="0"/>
              </w:rPr>
              <w:t xml:space="preserve">Ejercicio 2</w:t>
            </w:r>
          </w:hyperlink>
          <w:r w:rsidDel="00000000" w:rsidR="00000000" w:rsidRPr="00000000">
            <w:rPr>
              <w:b w:val="1"/>
              <w:rtl w:val="0"/>
            </w:rPr>
            <w:tab/>
          </w:r>
          <w:r w:rsidDel="00000000" w:rsidR="00000000" w:rsidRPr="00000000">
            <w:fldChar w:fldCharType="begin"/>
            <w:instrText xml:space="preserve"> PAGEREF _sp5nl8ijqq5l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pPr>
          <w:hyperlink w:anchor="_1g5jhmuwl0h7">
            <w:r w:rsidDel="00000000" w:rsidR="00000000" w:rsidRPr="00000000">
              <w:rPr>
                <w:rtl w:val="0"/>
              </w:rPr>
              <w:t xml:space="preserve">Crímenes</w:t>
            </w:r>
          </w:hyperlink>
          <w:r w:rsidDel="00000000" w:rsidR="00000000" w:rsidRPr="00000000">
            <w:rPr>
              <w:rtl w:val="0"/>
            </w:rPr>
            <w:tab/>
          </w:r>
          <w:r w:rsidDel="00000000" w:rsidR="00000000" w:rsidRPr="00000000">
            <w:fldChar w:fldCharType="begin"/>
            <w:instrText xml:space="preserve"> PAGEREF _1g5jhmuwl0h7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pPr>
          <w:hyperlink w:anchor="_umfjvrfqvafj">
            <w:r w:rsidDel="00000000" w:rsidR="00000000" w:rsidRPr="00000000">
              <w:rPr>
                <w:rtl w:val="0"/>
              </w:rPr>
              <w:t xml:space="preserve">Robos</w:t>
            </w:r>
          </w:hyperlink>
          <w:r w:rsidDel="00000000" w:rsidR="00000000" w:rsidRPr="00000000">
            <w:rPr>
              <w:rtl w:val="0"/>
            </w:rPr>
            <w:tab/>
          </w:r>
          <w:r w:rsidDel="00000000" w:rsidR="00000000" w:rsidRPr="00000000">
            <w:fldChar w:fldCharType="begin"/>
            <w:instrText xml:space="preserve"> PAGEREF _umfjvrfqvafj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pPr>
          <w:hyperlink w:anchor="_2tgzb64yndx2">
            <w:r w:rsidDel="00000000" w:rsidR="00000000" w:rsidRPr="00000000">
              <w:rPr>
                <w:rtl w:val="0"/>
              </w:rPr>
              <w:t xml:space="preserve">Relacionado con Vehículos</w:t>
            </w:r>
          </w:hyperlink>
          <w:r w:rsidDel="00000000" w:rsidR="00000000" w:rsidRPr="00000000">
            <w:rPr>
              <w:rtl w:val="0"/>
            </w:rPr>
            <w:tab/>
          </w:r>
          <w:r w:rsidDel="00000000" w:rsidR="00000000" w:rsidRPr="00000000">
            <w:fldChar w:fldCharType="begin"/>
            <w:instrText xml:space="preserve"> PAGEREF _2tgzb64yndx2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pPr>
          <w:hyperlink w:anchor="_k8ugm9dw8lp8">
            <w:r w:rsidDel="00000000" w:rsidR="00000000" w:rsidRPr="00000000">
              <w:rPr>
                <w:rtl w:val="0"/>
              </w:rPr>
              <w:t xml:space="preserve">Orden Público</w:t>
            </w:r>
          </w:hyperlink>
          <w:r w:rsidDel="00000000" w:rsidR="00000000" w:rsidRPr="00000000">
            <w:rPr>
              <w:rtl w:val="0"/>
            </w:rPr>
            <w:tab/>
          </w:r>
          <w:r w:rsidDel="00000000" w:rsidR="00000000" w:rsidRPr="00000000">
            <w:fldChar w:fldCharType="begin"/>
            <w:instrText xml:space="preserve"> PAGEREF _k8ugm9dw8lp8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after="80" w:before="60" w:line="240" w:lineRule="auto"/>
            <w:ind w:left="360" w:firstLine="0"/>
            <w:rPr/>
          </w:pPr>
          <w:hyperlink w:anchor="_p18ntd67b703">
            <w:r w:rsidDel="00000000" w:rsidR="00000000" w:rsidRPr="00000000">
              <w:rPr>
                <w:rtl w:val="0"/>
              </w:rPr>
              <w:t xml:space="preserve">Drogas</w:t>
            </w:r>
          </w:hyperlink>
          <w:r w:rsidDel="00000000" w:rsidR="00000000" w:rsidRPr="00000000">
            <w:rPr>
              <w:rtl w:val="0"/>
            </w:rPr>
            <w:tab/>
          </w:r>
          <w:r w:rsidDel="00000000" w:rsidR="00000000" w:rsidRPr="00000000">
            <w:fldChar w:fldCharType="begin"/>
            <w:instrText xml:space="preserve"> PAGEREF _p18ntd67b703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ftxe5zm5grh7" w:id="1"/>
      <w:bookmarkEnd w:id="1"/>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uba463gfdyb7" w:id="2"/>
      <w:bookmarkEnd w:id="2"/>
      <w:r w:rsidDel="00000000" w:rsidR="00000000" w:rsidRPr="00000000">
        <w:rPr>
          <w:rtl w:val="0"/>
        </w:rPr>
        <w:t xml:space="preserve">Breve explicación de color-clase</w:t>
      </w:r>
    </w:p>
    <w:p w:rsidR="00000000" w:rsidDel="00000000" w:rsidP="00000000" w:rsidRDefault="00000000" w:rsidRPr="00000000" w14:paraId="00000020">
      <w:pPr>
        <w:rPr/>
      </w:pPr>
      <w:r w:rsidDel="00000000" w:rsidR="00000000" w:rsidRPr="00000000">
        <w:rPr>
          <w:rtl w:val="0"/>
        </w:rPr>
        <w:t xml:space="preserve">Para poder diferenciar las diferentes clases en las que se clasifican las provincias que se van a mostrar a continuación, se ha decidido usar los correspondientes colores de mayor a menor seguridad: </w:t>
      </w:r>
      <w:r w:rsidDel="00000000" w:rsidR="00000000" w:rsidRPr="00000000">
        <w:rPr>
          <w:b w:val="1"/>
          <w:rtl w:val="0"/>
        </w:rPr>
        <w:t xml:space="preserve">azul, naranja, rojo</w:t>
      </w:r>
      <w:r w:rsidDel="00000000" w:rsidR="00000000" w:rsidRPr="00000000">
        <w:rPr>
          <w:rtl w:val="0"/>
        </w:rPr>
        <w:t xml:space="preserve">.</w:t>
      </w:r>
    </w:p>
    <w:p w:rsidR="00000000" w:rsidDel="00000000" w:rsidP="00000000" w:rsidRDefault="00000000" w:rsidRPr="00000000" w14:paraId="00000021">
      <w:pPr>
        <w:pStyle w:val="Heading1"/>
        <w:rPr/>
      </w:pPr>
      <w:bookmarkStart w:colFirst="0" w:colLast="0" w:name="_lmhoptns64hp" w:id="3"/>
      <w:bookmarkEnd w:id="3"/>
      <w:r w:rsidDel="00000000" w:rsidR="00000000" w:rsidRPr="00000000">
        <w:rPr>
          <w:rtl w:val="0"/>
        </w:rPr>
        <w:t xml:space="preserve">Ejercicio 1</w:t>
      </w:r>
    </w:p>
    <w:p w:rsidR="00000000" w:rsidDel="00000000" w:rsidP="00000000" w:rsidRDefault="00000000" w:rsidRPr="00000000" w14:paraId="00000022">
      <w:pPr>
        <w:rPr/>
      </w:pPr>
      <w:r w:rsidDel="00000000" w:rsidR="00000000" w:rsidRPr="00000000">
        <w:rPr>
          <w:rtl w:val="0"/>
        </w:rPr>
        <w:t xml:space="preserve">Mapa respecto a las provincias de Andalucía, sin normalizar por el número de habitantes, mostrando una clasificación global de la clase a la que pertenece cada provincia.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731200" cy="33909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Málaga, Sevilla y Cádiz son las únicas provincias con una Clase Media (2) de clasificación. Mientras que las demás provincias se encuentran en un estado de seguridad alto; es decir, Clase Alta (1).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Realmente estos datos no son correctos, ya que si no existe una normalización en la cantidad de habitantes respecto a la que se hace el estudio no se podrá evaluar con igualdad todas las provincias. Es por ello que en el siguiente ejercicio se aplica para una normalización de 10.000 habitantes para todas las provincias de España.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sp5nl8ijqq5l" w:id="4"/>
      <w:bookmarkEnd w:id="4"/>
      <w:r w:rsidDel="00000000" w:rsidR="00000000" w:rsidRPr="00000000">
        <w:rPr>
          <w:rtl w:val="0"/>
        </w:rPr>
        <w:t xml:space="preserve">Ejercicio 2</w:t>
      </w:r>
    </w:p>
    <w:p w:rsidR="00000000" w:rsidDel="00000000" w:rsidP="00000000" w:rsidRDefault="00000000" w:rsidRPr="00000000" w14:paraId="0000002E">
      <w:pPr>
        <w:rPr/>
      </w:pPr>
      <w:r w:rsidDel="00000000" w:rsidR="00000000" w:rsidRPr="00000000">
        <w:rPr>
          <w:rtl w:val="0"/>
        </w:rPr>
        <w:t xml:space="preserve">Como he explicado anteriormente, aquí se mostrará la clasificación del nivel de seguridad de las provincias de toda España y normalizadas por cada 10.000 habitantes.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Sabemos que Ceuta y Melilla pueden provocar que los valores de los CPs sean excesivamente optimistas respecto a las provincias debido al desvío que pueden provocar estas dos provincias.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drawing>
          <wp:inline distB="114300" distT="114300" distL="114300" distR="114300">
            <wp:extent cx="4138613" cy="3647053"/>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138613" cy="3647053"/>
                    </a:xfrm>
                    <a:prstGeom prst="rect"/>
                    <a:ln/>
                  </pic:spPr>
                </pic:pic>
              </a:graphicData>
            </a:graphic>
          </wp:inline>
        </w:drawing>
      </w:r>
      <w:r w:rsidDel="00000000" w:rsidR="00000000" w:rsidRPr="00000000">
        <w:rPr/>
        <w:drawing>
          <wp:inline distB="114300" distT="114300" distL="114300" distR="114300">
            <wp:extent cx="5119688" cy="2381250"/>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19688"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t xml:space="preserve">Como podemos ver, las únicas provincias que se encuentran en Clase Baja de seguridad son Ceuta y Melilla. Además, provocan que la mayoría de las provincias de España se clasifiquen en la misma clase (Clase Media).</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t xml:space="preserve">Por lo tanto, se va a mostrar el resultado de dicha clasificación por cada uno de los criterios respecto a los CPs correspondientes. </w:t>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pStyle w:val="Heading2"/>
        <w:rPr/>
      </w:pPr>
      <w:bookmarkStart w:colFirst="0" w:colLast="0" w:name="_1g5jhmuwl0h7" w:id="5"/>
      <w:bookmarkEnd w:id="5"/>
      <w:r w:rsidDel="00000000" w:rsidR="00000000" w:rsidRPr="00000000">
        <w:rPr>
          <w:rtl w:val="0"/>
        </w:rPr>
        <w:t xml:space="preserve">Crímenes</w:t>
      </w:r>
    </w:p>
    <w:p w:rsidR="00000000" w:rsidDel="00000000" w:rsidP="00000000" w:rsidRDefault="00000000" w:rsidRPr="00000000" w14:paraId="00000039">
      <w:pPr>
        <w:jc w:val="center"/>
        <w:rPr/>
      </w:pPr>
      <w:r w:rsidDel="00000000" w:rsidR="00000000" w:rsidRPr="00000000">
        <w:rPr/>
        <w:drawing>
          <wp:inline distB="114300" distT="114300" distL="114300" distR="114300">
            <wp:extent cx="4011450" cy="347659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011450" cy="347659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2"/>
        <w:rPr/>
      </w:pPr>
      <w:bookmarkStart w:colFirst="0" w:colLast="0" w:name="_umfjvrfqvafj" w:id="6"/>
      <w:bookmarkEnd w:id="6"/>
      <w:r w:rsidDel="00000000" w:rsidR="00000000" w:rsidRPr="00000000">
        <w:rPr>
          <w:rtl w:val="0"/>
        </w:rPr>
        <w:t xml:space="preserve">Robos</w:t>
      </w:r>
    </w:p>
    <w:p w:rsidR="00000000" w:rsidDel="00000000" w:rsidP="00000000" w:rsidRDefault="00000000" w:rsidRPr="00000000" w14:paraId="0000003B">
      <w:pPr>
        <w:jc w:val="center"/>
        <w:rPr/>
      </w:pPr>
      <w:r w:rsidDel="00000000" w:rsidR="00000000" w:rsidRPr="00000000">
        <w:rPr/>
        <w:drawing>
          <wp:inline distB="114300" distT="114300" distL="114300" distR="114300">
            <wp:extent cx="3481425" cy="2984078"/>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481425" cy="298407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2tgzb64yndx2" w:id="7"/>
      <w:bookmarkEnd w:id="7"/>
      <w:r w:rsidDel="00000000" w:rsidR="00000000" w:rsidRPr="00000000">
        <w:rPr>
          <w:rtl w:val="0"/>
        </w:rPr>
        <w:t xml:space="preserve">Relacionado con Vehículos</w:t>
      </w:r>
    </w:p>
    <w:p w:rsidR="00000000" w:rsidDel="00000000" w:rsidP="00000000" w:rsidRDefault="00000000" w:rsidRPr="00000000" w14:paraId="0000003E">
      <w:pPr>
        <w:jc w:val="center"/>
        <w:rPr/>
      </w:pPr>
      <w:r w:rsidDel="00000000" w:rsidR="00000000" w:rsidRPr="00000000">
        <w:rPr/>
        <w:drawing>
          <wp:inline distB="114300" distT="114300" distL="114300" distR="114300">
            <wp:extent cx="4062413" cy="3542802"/>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062413" cy="354280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2"/>
        <w:rPr/>
      </w:pPr>
      <w:bookmarkStart w:colFirst="0" w:colLast="0" w:name="_k8ugm9dw8lp8" w:id="8"/>
      <w:bookmarkEnd w:id="8"/>
      <w:r w:rsidDel="00000000" w:rsidR="00000000" w:rsidRPr="00000000">
        <w:rPr>
          <w:rtl w:val="0"/>
        </w:rPr>
        <w:t xml:space="preserve">Orden Público</w:t>
      </w:r>
    </w:p>
    <w:p w:rsidR="00000000" w:rsidDel="00000000" w:rsidP="00000000" w:rsidRDefault="00000000" w:rsidRPr="00000000" w14:paraId="00000040">
      <w:pPr>
        <w:jc w:val="center"/>
        <w:rPr/>
      </w:pPr>
      <w:r w:rsidDel="00000000" w:rsidR="00000000" w:rsidRPr="00000000">
        <w:rPr/>
        <w:drawing>
          <wp:inline distB="114300" distT="114300" distL="114300" distR="114300">
            <wp:extent cx="4388407" cy="3795144"/>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388407" cy="379514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p18ntd67b703" w:id="9"/>
      <w:bookmarkEnd w:id="9"/>
      <w:r w:rsidDel="00000000" w:rsidR="00000000" w:rsidRPr="00000000">
        <w:rPr>
          <w:rtl w:val="0"/>
        </w:rPr>
        <w:t xml:space="preserve">Drogas</w:t>
      </w:r>
    </w:p>
    <w:p w:rsidR="00000000" w:rsidDel="00000000" w:rsidP="00000000" w:rsidRDefault="00000000" w:rsidRPr="00000000" w14:paraId="00000043">
      <w:pPr>
        <w:jc w:val="center"/>
        <w:rPr/>
      </w:pPr>
      <w:r w:rsidDel="00000000" w:rsidR="00000000" w:rsidRPr="00000000">
        <w:rPr/>
        <w:drawing>
          <wp:inline distB="114300" distT="114300" distL="114300" distR="114300">
            <wp:extent cx="4239676" cy="3679403"/>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39676" cy="367940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yperlink" Target="mailto:spc00033@red.ujaen.es" TargetMode="External"/><Relationship Id="rId8" Type="http://schemas.openxmlformats.org/officeDocument/2006/relationships/hyperlink" Target="mailto:martin@ujae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