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D056" w14:textId="77777777" w:rsidR="00245576" w:rsidRDefault="005A3D87">
      <w:pPr>
        <w:spacing w:after="0" w:line="259" w:lineRule="auto"/>
        <w:ind w:right="49"/>
        <w:jc w:val="right"/>
      </w:pPr>
      <w:r>
        <w:t xml:space="preserve">UNIVERSIDAD SANTO TOMAS – TUNJA </w:t>
      </w:r>
    </w:p>
    <w:p w14:paraId="293C52C7" w14:textId="0923E207" w:rsidR="00245576" w:rsidRDefault="005A3D87">
      <w:pPr>
        <w:spacing w:after="0" w:line="259" w:lineRule="auto"/>
        <w:ind w:right="49"/>
        <w:jc w:val="right"/>
      </w:pPr>
      <w:r>
        <w:t>Sergio</w:t>
      </w:r>
      <w:r w:rsidR="00ED4E4B">
        <w:t xml:space="preserve"> </w:t>
      </w:r>
      <w:r w:rsidR="00947CB7">
        <w:t>Mesa</w:t>
      </w:r>
      <w:r>
        <w:t xml:space="preserve"> </w:t>
      </w:r>
    </w:p>
    <w:p w14:paraId="0A40668D" w14:textId="77777777" w:rsidR="00245576" w:rsidRDefault="005A3D87">
      <w:pPr>
        <w:spacing w:after="0" w:line="259" w:lineRule="auto"/>
        <w:ind w:right="49"/>
        <w:jc w:val="right"/>
      </w:pPr>
      <w:r>
        <w:t xml:space="preserve">Facultad de Sistemas </w:t>
      </w:r>
    </w:p>
    <w:p w14:paraId="63AAE2EC" w14:textId="77777777" w:rsidR="00245576" w:rsidRDefault="005A3D87">
      <w:pPr>
        <w:spacing w:after="0" w:line="259" w:lineRule="auto"/>
        <w:ind w:right="49"/>
        <w:jc w:val="right"/>
      </w:pPr>
      <w:r>
        <w:t xml:space="preserve">Ing. Luis Fernando Castellanos </w:t>
      </w:r>
    </w:p>
    <w:p w14:paraId="2DD05E50" w14:textId="77777777" w:rsidR="00245576" w:rsidRDefault="005A3D87">
      <w:pPr>
        <w:spacing w:after="14" w:line="259" w:lineRule="auto"/>
        <w:ind w:left="-28" w:right="0" w:firstLine="0"/>
        <w:jc w:val="left"/>
      </w:pPr>
      <w:r>
        <w:rPr>
          <w:rFonts w:ascii="Calibri" w:eastAsia="Calibri" w:hAnsi="Calibri" w:cs="Calibri"/>
          <w:noProof/>
          <w:sz w:val="22"/>
        </w:rPr>
        <mc:AlternateContent>
          <mc:Choice Requires="wpg">
            <w:drawing>
              <wp:inline distT="0" distB="0" distL="0" distR="0" wp14:anchorId="44ACD5CF" wp14:editId="35934536">
                <wp:extent cx="6009006" cy="17780"/>
                <wp:effectExtent l="0" t="0" r="0" b="0"/>
                <wp:docPr id="1651" name="Group 1651"/>
                <wp:cNvGraphicFramePr/>
                <a:graphic xmlns:a="http://schemas.openxmlformats.org/drawingml/2006/main">
                  <a:graphicData uri="http://schemas.microsoft.com/office/word/2010/wordprocessingGroup">
                    <wpg:wgp>
                      <wpg:cNvGrpSpPr/>
                      <wpg:grpSpPr>
                        <a:xfrm>
                          <a:off x="0" y="0"/>
                          <a:ext cx="6009006" cy="17780"/>
                          <a:chOff x="0" y="0"/>
                          <a:chExt cx="6009006" cy="17780"/>
                        </a:xfrm>
                      </wpg:grpSpPr>
                      <wps:wsp>
                        <wps:cNvPr id="1983" name="Shape 1983"/>
                        <wps:cNvSpPr/>
                        <wps:spPr>
                          <a:xfrm>
                            <a:off x="0" y="0"/>
                            <a:ext cx="6009006" cy="17780"/>
                          </a:xfrm>
                          <a:custGeom>
                            <a:avLst/>
                            <a:gdLst/>
                            <a:ahLst/>
                            <a:cxnLst/>
                            <a:rect l="0" t="0" r="0" b="0"/>
                            <a:pathLst>
                              <a:path w="6009006" h="17780">
                                <a:moveTo>
                                  <a:pt x="0" y="0"/>
                                </a:moveTo>
                                <a:lnTo>
                                  <a:pt x="6009006" y="0"/>
                                </a:lnTo>
                                <a:lnTo>
                                  <a:pt x="6009006"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1" style="width:473.15pt;height:1.40002pt;mso-position-horizontal-relative:char;mso-position-vertical-relative:line" coordsize="60090,177">
                <v:shape id="Shape 1984" style="position:absolute;width:60090;height:177;left:0;top:0;" coordsize="6009006,17780" path="m0,0l6009006,0l6009006,17780l0,17780l0,0">
                  <v:stroke weight="0pt" endcap="flat" joinstyle="miter" miterlimit="10" on="false" color="#000000" opacity="0"/>
                  <v:fill on="true" color="#000000"/>
                </v:shape>
              </v:group>
            </w:pict>
          </mc:Fallback>
        </mc:AlternateContent>
      </w:r>
    </w:p>
    <w:p w14:paraId="6DD1B2F0" w14:textId="77777777" w:rsidR="00ED4E4B" w:rsidRPr="00ED4E4B" w:rsidRDefault="00ED4E4B">
      <w:pPr>
        <w:spacing w:after="156" w:line="259" w:lineRule="auto"/>
        <w:ind w:left="0" w:right="0" w:firstLine="0"/>
        <w:jc w:val="center"/>
        <w:rPr>
          <w:sz w:val="28"/>
          <w:szCs w:val="28"/>
        </w:rPr>
      </w:pPr>
    </w:p>
    <w:p w14:paraId="110D71B5" w14:textId="6C962335" w:rsidR="00245576" w:rsidRPr="00ED4E4B" w:rsidRDefault="00947CB7">
      <w:pPr>
        <w:spacing w:after="156" w:line="259" w:lineRule="auto"/>
        <w:ind w:left="0" w:right="0" w:firstLine="0"/>
        <w:jc w:val="center"/>
        <w:rPr>
          <w:sz w:val="28"/>
          <w:szCs w:val="28"/>
        </w:rPr>
      </w:pPr>
      <w:r w:rsidRPr="00947CB7">
        <w:rPr>
          <w:color w:val="2E2E2E"/>
          <w:sz w:val="28"/>
          <w:szCs w:val="28"/>
          <w:shd w:val="clear" w:color="auto" w:fill="FFFFFF"/>
        </w:rPr>
        <w:t>Mejora de la precisión de decodificación de las señales de EEG mediante la introducción de la STFT anclada y el método de aumento de datos adversos</w:t>
      </w:r>
    </w:p>
    <w:p w14:paraId="4BCFEDF1" w14:textId="77777777" w:rsidR="00245576" w:rsidRDefault="005A3D87">
      <w:pPr>
        <w:spacing w:after="160" w:line="259" w:lineRule="auto"/>
        <w:ind w:left="0" w:right="0" w:firstLine="0"/>
        <w:jc w:val="left"/>
      </w:pPr>
      <w:r>
        <w:t xml:space="preserve"> </w:t>
      </w:r>
    </w:p>
    <w:p w14:paraId="02E81171" w14:textId="473B76DD" w:rsidR="00245576" w:rsidRPr="00ED4E4B" w:rsidRDefault="005A3D87">
      <w:pPr>
        <w:ind w:left="-5" w:right="51"/>
        <w:rPr>
          <w:b/>
          <w:bCs/>
        </w:rPr>
      </w:pPr>
      <w:r w:rsidRPr="00ED4E4B">
        <w:rPr>
          <w:b/>
          <w:bCs/>
        </w:rPr>
        <w:t xml:space="preserve">Descripción General: </w:t>
      </w:r>
      <w:r w:rsidR="00947CB7" w:rsidRPr="00947CB7">
        <w:t>Las interfaces cerebro-ordenador (BCI) permiten la comunicación entre humanos y máquinas al traducir la actividad cerebral en órdenes de control. Las señales de electroencefalografía (EEG) son una de las señales cerebrales más utilizadas en las aplicaciones BCI no invasivas, pero a menudo están contaminadas con ruido</w:t>
      </w:r>
    </w:p>
    <w:p w14:paraId="121C2766" w14:textId="48CA3721" w:rsidR="00245576" w:rsidRPr="00ED4E4B" w:rsidRDefault="00245576">
      <w:pPr>
        <w:spacing w:after="160" w:line="259" w:lineRule="auto"/>
        <w:ind w:left="0" w:right="0" w:firstLine="0"/>
        <w:jc w:val="left"/>
        <w:rPr>
          <w:b/>
          <w:bCs/>
        </w:rPr>
      </w:pPr>
    </w:p>
    <w:p w14:paraId="1B8756FB" w14:textId="65984A07" w:rsidR="00947CB7" w:rsidRPr="00947CB7" w:rsidRDefault="005A3D87" w:rsidP="00947CB7">
      <w:pPr>
        <w:ind w:left="-5" w:right="51"/>
        <w:rPr>
          <w:b/>
          <w:bCs/>
        </w:rPr>
      </w:pPr>
      <w:r w:rsidRPr="00ED4E4B">
        <w:rPr>
          <w:b/>
          <w:bCs/>
        </w:rPr>
        <w:t xml:space="preserve">Manejo de Datos: </w:t>
      </w:r>
      <w:r w:rsidR="00947CB7" w:rsidRPr="00947CB7">
        <w:t>Los patrones significativos para clasificar las señales de EEG estén profundamente ocultos. Los algoritmos de aprendizaje profundo más avanzados consiguen aprender patrones ocultos y significativos. Sin embargo, la calidad y la cantidad de las entradas presentadas son fundamentales. Aquí proponemos un método de extracción de características llamado Transformada de Fourier de Tiempo Corto Anclada (STFT Anclada), que es una versión avanzada de la STFT, ya que minimiza el compromiso entre la resolución temporal y espectral que presenta la STFT. Además, proponemos un método de aumento de datos derivado del método de signo de gradiente rápido de la norma l2 (FGSM), denominado aumento adversarial de la norma de gradiente (GNAA).</w:t>
      </w:r>
    </w:p>
    <w:p w14:paraId="69EA58FA" w14:textId="77777777" w:rsidR="00947CB7" w:rsidRDefault="00947CB7">
      <w:pPr>
        <w:ind w:left="-5" w:right="51"/>
        <w:rPr>
          <w:b/>
          <w:bCs/>
        </w:rPr>
      </w:pPr>
    </w:p>
    <w:p w14:paraId="764B006D" w14:textId="0DFAF136" w:rsidR="00947CB7" w:rsidRPr="00947CB7" w:rsidRDefault="005A3D87" w:rsidP="00947CB7">
      <w:pPr>
        <w:ind w:left="-5" w:right="51"/>
      </w:pPr>
      <w:r w:rsidRPr="00ED4E4B">
        <w:rPr>
          <w:b/>
          <w:bCs/>
        </w:rPr>
        <w:t>Técnica de Aprendizaje:</w:t>
      </w:r>
      <w:r w:rsidR="00947CB7" w:rsidRPr="00947CB7">
        <w:t xml:space="preserve"> GNAA no es sólo un método de aumento, sino que también se utiliza para aprovechar las entradas adversariales en los datos de EEG, lo que no sólo mejora la precisión de la clasificación, sino que también mejora la robustez del clasificador. Además, también proponemos una arquitectura CNN, concretamente Skip-Net, para la clasificación de señales EEG. </w:t>
      </w:r>
    </w:p>
    <w:p w14:paraId="6F04571E" w14:textId="77777777" w:rsidR="00947CB7" w:rsidRPr="00947CB7" w:rsidRDefault="00947CB7" w:rsidP="00947CB7">
      <w:pPr>
        <w:ind w:left="-5" w:right="51"/>
        <w:rPr>
          <w:b/>
          <w:bCs/>
        </w:rPr>
      </w:pPr>
    </w:p>
    <w:p w14:paraId="5B12E92E" w14:textId="670AC112" w:rsidR="00245576" w:rsidRDefault="006B197C" w:rsidP="00947CB7">
      <w:pPr>
        <w:ind w:left="-5" w:right="51"/>
        <w:rPr>
          <w:b/>
          <w:bCs/>
        </w:rPr>
      </w:pPr>
      <w:r w:rsidRPr="00ED4E4B">
        <w:rPr>
          <w:b/>
          <w:bCs/>
        </w:rPr>
        <w:t>Acertabilidad</w:t>
      </w:r>
      <w:r>
        <w:rPr>
          <w:b/>
          <w:bCs/>
        </w:rPr>
        <w:t>:</w:t>
      </w:r>
      <w:r w:rsidR="005A3D87" w:rsidRPr="0043261A">
        <w:t xml:space="preserve"> </w:t>
      </w:r>
      <w:r w:rsidR="00947CB7" w:rsidRPr="00947CB7">
        <w:t>La línea de producción propuesta supera a los métodos actuales del estado del arte y produce precisiones de clasificación del 90,7% en el conjunto de datos III de la competición BCI y del 89,5%, 81,8%, 76,0% y 85,4%, 69,1%, 80,9% en diferentes distribuciones de datos del conjunto</w:t>
      </w:r>
    </w:p>
    <w:p w14:paraId="05262038" w14:textId="22AEC515" w:rsidR="00ED4E4B" w:rsidRDefault="00ED4E4B" w:rsidP="00947CB7">
      <w:pPr>
        <w:ind w:left="0" w:right="51" w:firstLine="0"/>
        <w:rPr>
          <w:b/>
          <w:bCs/>
        </w:rPr>
      </w:pPr>
    </w:p>
    <w:p w14:paraId="25CB8E12" w14:textId="0D162168" w:rsidR="00ED4E4B" w:rsidRDefault="00ED4E4B">
      <w:pPr>
        <w:ind w:left="-5" w:right="51"/>
        <w:rPr>
          <w:b/>
          <w:bCs/>
        </w:rPr>
      </w:pPr>
    </w:p>
    <w:p w14:paraId="250C5698" w14:textId="6562C774" w:rsidR="00ED4E4B" w:rsidRDefault="00ED4E4B">
      <w:pPr>
        <w:ind w:left="-5" w:right="51"/>
        <w:rPr>
          <w:b/>
          <w:bCs/>
        </w:rPr>
      </w:pPr>
    </w:p>
    <w:p w14:paraId="44ACD027" w14:textId="34BA4036" w:rsidR="00ED4E4B" w:rsidRDefault="00ED4E4B" w:rsidP="00947CB7">
      <w:pPr>
        <w:ind w:left="0" w:right="51" w:firstLine="0"/>
        <w:rPr>
          <w:b/>
          <w:bCs/>
        </w:rPr>
      </w:pPr>
    </w:p>
    <w:p w14:paraId="11E090C7" w14:textId="77777777" w:rsidR="00ED4E4B" w:rsidRPr="00ED4E4B" w:rsidRDefault="00ED4E4B">
      <w:pPr>
        <w:ind w:left="-5" w:right="51"/>
        <w:rPr>
          <w:b/>
          <w:bCs/>
        </w:rPr>
      </w:pPr>
    </w:p>
    <w:p w14:paraId="1169DA7C" w14:textId="48E00B3B" w:rsidR="00245576" w:rsidRDefault="005A3D87" w:rsidP="00ED4E4B">
      <w:pPr>
        <w:ind w:left="-5" w:right="51"/>
        <w:jc w:val="center"/>
        <w:rPr>
          <w:b/>
          <w:bCs/>
        </w:rPr>
      </w:pPr>
      <w:r w:rsidRPr="00ED4E4B">
        <w:rPr>
          <w:b/>
          <w:bCs/>
        </w:rPr>
        <w:t>INFOGRAFIA</w:t>
      </w:r>
    </w:p>
    <w:p w14:paraId="01A2330C" w14:textId="5CCAFC8E" w:rsidR="002705CD" w:rsidRDefault="006B197C" w:rsidP="00ED4E4B">
      <w:pPr>
        <w:ind w:left="-5" w:right="51"/>
        <w:jc w:val="center"/>
      </w:pPr>
      <w:hyperlink r:id="rId4" w:history="1">
        <w:r w:rsidR="00947CB7" w:rsidRPr="00715083">
          <w:rPr>
            <w:rStyle w:val="Hipervnculo"/>
          </w:rPr>
          <w:t>https://www-scopus-com.crai-ustadigital.usantotomas.edu.co/record/display.uri?eid=2-s2.0-85126240026&amp;origin=resultslist&amp;sort=plf-f&amp;src=s&amp;st1=Deep+Learning&amp;nlo=&amp;nlr=&amp;nls=&amp;sid=a813be2cf34a980aabe91dba51f0a804&amp;sot=b&amp;sdt=b&amp;sl=28&amp;s=TITLE-ABS-KEY%28Deep+Learning%29&amp;relpos=22&amp;citeCnt=0&amp;searchTerm=</w:t>
        </w:r>
      </w:hyperlink>
    </w:p>
    <w:p w14:paraId="2A1ABA82" w14:textId="77777777" w:rsidR="00947CB7" w:rsidRPr="00947CB7" w:rsidRDefault="00947CB7" w:rsidP="00ED4E4B">
      <w:pPr>
        <w:ind w:left="-5" w:right="51"/>
        <w:jc w:val="center"/>
      </w:pPr>
    </w:p>
    <w:p w14:paraId="11CEFD45" w14:textId="306FBC22" w:rsidR="00245576" w:rsidRPr="00ED4E4B" w:rsidRDefault="00245576" w:rsidP="00ED4E4B">
      <w:pPr>
        <w:spacing w:after="156" w:line="259" w:lineRule="auto"/>
        <w:ind w:left="0" w:right="0" w:firstLine="0"/>
        <w:jc w:val="left"/>
        <w:rPr>
          <w:sz w:val="18"/>
          <w:szCs w:val="16"/>
        </w:rPr>
      </w:pPr>
    </w:p>
    <w:p w14:paraId="4CD6F63D" w14:textId="77777777" w:rsidR="00245576" w:rsidRDefault="005A3D87">
      <w:pPr>
        <w:spacing w:after="160" w:line="259" w:lineRule="auto"/>
        <w:ind w:left="0" w:right="0" w:firstLine="0"/>
        <w:jc w:val="left"/>
      </w:pPr>
      <w:r>
        <w:t xml:space="preserve"> </w:t>
      </w:r>
    </w:p>
    <w:p w14:paraId="6DB16882" w14:textId="77777777" w:rsidR="00245576" w:rsidRDefault="005A3D87">
      <w:pPr>
        <w:spacing w:after="156" w:line="259" w:lineRule="auto"/>
        <w:ind w:left="0" w:right="0" w:firstLine="0"/>
        <w:jc w:val="left"/>
      </w:pPr>
      <w:r>
        <w:t xml:space="preserve">  </w:t>
      </w:r>
    </w:p>
    <w:p w14:paraId="4A034813" w14:textId="77777777" w:rsidR="00245576" w:rsidRDefault="005A3D87">
      <w:pPr>
        <w:spacing w:after="160" w:line="259" w:lineRule="auto"/>
        <w:ind w:left="0" w:right="0" w:firstLine="0"/>
        <w:jc w:val="left"/>
      </w:pPr>
      <w:r>
        <w:t xml:space="preserve"> </w:t>
      </w:r>
    </w:p>
    <w:p w14:paraId="7AF0DCB0" w14:textId="77777777" w:rsidR="00245576" w:rsidRDefault="005A3D87">
      <w:pPr>
        <w:spacing w:after="156" w:line="259" w:lineRule="auto"/>
        <w:ind w:left="0" w:right="0" w:firstLine="0"/>
        <w:jc w:val="left"/>
      </w:pPr>
      <w:r>
        <w:t xml:space="preserve"> </w:t>
      </w:r>
    </w:p>
    <w:p w14:paraId="054F3956" w14:textId="77777777" w:rsidR="00245576" w:rsidRDefault="005A3D87">
      <w:pPr>
        <w:spacing w:after="159" w:line="259" w:lineRule="auto"/>
        <w:ind w:left="0" w:right="0" w:firstLine="0"/>
        <w:jc w:val="left"/>
      </w:pPr>
      <w:r>
        <w:t xml:space="preserve">  </w:t>
      </w:r>
    </w:p>
    <w:p w14:paraId="4B575336" w14:textId="77777777" w:rsidR="00245576" w:rsidRDefault="005A3D87">
      <w:pPr>
        <w:spacing w:after="156" w:line="259" w:lineRule="auto"/>
        <w:ind w:left="0" w:right="0" w:firstLine="0"/>
        <w:jc w:val="left"/>
      </w:pPr>
      <w:r>
        <w:t xml:space="preserve"> </w:t>
      </w:r>
    </w:p>
    <w:p w14:paraId="70201695" w14:textId="77777777" w:rsidR="00245576" w:rsidRDefault="005A3D87">
      <w:pPr>
        <w:spacing w:after="160" w:line="259" w:lineRule="auto"/>
        <w:ind w:left="0" w:right="0" w:firstLine="0"/>
        <w:jc w:val="left"/>
      </w:pPr>
      <w:r>
        <w:t xml:space="preserve"> </w:t>
      </w:r>
    </w:p>
    <w:p w14:paraId="1A0F3569" w14:textId="77777777" w:rsidR="00245576" w:rsidRDefault="005A3D87">
      <w:pPr>
        <w:spacing w:after="156" w:line="259" w:lineRule="auto"/>
        <w:ind w:left="0" w:right="0" w:firstLine="0"/>
        <w:jc w:val="left"/>
      </w:pPr>
      <w:r>
        <w:t xml:space="preserve"> </w:t>
      </w:r>
    </w:p>
    <w:p w14:paraId="5480CA8B" w14:textId="77777777" w:rsidR="00245576" w:rsidRDefault="005A3D87">
      <w:pPr>
        <w:spacing w:after="156" w:line="259" w:lineRule="auto"/>
        <w:ind w:left="0" w:right="0" w:firstLine="0"/>
        <w:jc w:val="left"/>
      </w:pPr>
      <w:r>
        <w:t xml:space="preserve"> </w:t>
      </w:r>
    </w:p>
    <w:p w14:paraId="6BE728AF" w14:textId="77777777" w:rsidR="00245576" w:rsidRDefault="005A3D87">
      <w:pPr>
        <w:spacing w:after="160" w:line="259" w:lineRule="auto"/>
        <w:ind w:left="0" w:right="0" w:firstLine="0"/>
        <w:jc w:val="left"/>
      </w:pPr>
      <w:r>
        <w:t xml:space="preserve"> </w:t>
      </w:r>
    </w:p>
    <w:p w14:paraId="1E10BAE3" w14:textId="77777777" w:rsidR="00245576" w:rsidRDefault="005A3D87">
      <w:pPr>
        <w:spacing w:after="156" w:line="259" w:lineRule="auto"/>
        <w:ind w:left="0" w:right="0" w:firstLine="0"/>
        <w:jc w:val="left"/>
      </w:pPr>
      <w:r>
        <w:t xml:space="preserve"> </w:t>
      </w:r>
    </w:p>
    <w:p w14:paraId="02DE4CF1" w14:textId="77777777" w:rsidR="00245576" w:rsidRDefault="005A3D87">
      <w:pPr>
        <w:spacing w:after="160" w:line="259" w:lineRule="auto"/>
        <w:ind w:left="0" w:right="0" w:firstLine="0"/>
        <w:jc w:val="left"/>
      </w:pPr>
      <w:r>
        <w:t xml:space="preserve"> </w:t>
      </w:r>
    </w:p>
    <w:p w14:paraId="253A6F0D" w14:textId="77777777" w:rsidR="00245576" w:rsidRDefault="005A3D87">
      <w:pPr>
        <w:spacing w:after="156" w:line="259" w:lineRule="auto"/>
        <w:ind w:left="0" w:right="0" w:firstLine="0"/>
        <w:jc w:val="left"/>
      </w:pPr>
      <w:r>
        <w:t xml:space="preserve"> </w:t>
      </w:r>
    </w:p>
    <w:p w14:paraId="4DC313BA" w14:textId="77777777" w:rsidR="00245576" w:rsidRDefault="005A3D87">
      <w:pPr>
        <w:spacing w:after="160" w:line="259" w:lineRule="auto"/>
        <w:ind w:left="0" w:right="0" w:firstLine="0"/>
        <w:jc w:val="left"/>
      </w:pPr>
      <w:r>
        <w:t xml:space="preserve"> </w:t>
      </w:r>
    </w:p>
    <w:p w14:paraId="4FD8946C" w14:textId="77777777" w:rsidR="00245576" w:rsidRDefault="005A3D87">
      <w:pPr>
        <w:spacing w:after="155" w:line="259" w:lineRule="auto"/>
        <w:ind w:left="0" w:right="0" w:firstLine="0"/>
        <w:jc w:val="left"/>
      </w:pPr>
      <w:r>
        <w:t xml:space="preserve"> </w:t>
      </w:r>
    </w:p>
    <w:p w14:paraId="42C2C282" w14:textId="77777777" w:rsidR="00245576" w:rsidRDefault="005A3D87">
      <w:pPr>
        <w:spacing w:after="0" w:line="259" w:lineRule="auto"/>
        <w:ind w:left="0" w:right="0" w:firstLine="0"/>
        <w:jc w:val="left"/>
      </w:pPr>
      <w:r>
        <w:t xml:space="preserve">   </w:t>
      </w:r>
    </w:p>
    <w:sectPr w:rsidR="00245576">
      <w:pgSz w:w="12240" w:h="15840"/>
      <w:pgMar w:top="1427" w:right="1357" w:bottom="1429"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576"/>
    <w:rsid w:val="00245576"/>
    <w:rsid w:val="002705CD"/>
    <w:rsid w:val="0043261A"/>
    <w:rsid w:val="005A3D87"/>
    <w:rsid w:val="006B197C"/>
    <w:rsid w:val="00947CB7"/>
    <w:rsid w:val="00E4341E"/>
    <w:rsid w:val="00ED4E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C12E"/>
  <w15:docId w15:val="{1307D12A-4116-4530-B446-87907C83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7" w:lineRule="auto"/>
      <w:ind w:left="10" w:right="64" w:hanging="10"/>
      <w:jc w:val="both"/>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705CD"/>
    <w:rPr>
      <w:color w:val="0563C1" w:themeColor="hyperlink"/>
      <w:u w:val="single"/>
    </w:rPr>
  </w:style>
  <w:style w:type="character" w:styleId="Mencinsinresolver">
    <w:name w:val="Unresolved Mention"/>
    <w:basedOn w:val="Fuentedeprrafopredeter"/>
    <w:uiPriority w:val="99"/>
    <w:semiHidden/>
    <w:unhideWhenUsed/>
    <w:rsid w:val="00270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opus-com.crai-ustadigital.usantotomas.edu.co/record/display.uri?eid=2-s2.0-85126240026&amp;origin=resultslist&amp;sort=plf-f&amp;src=s&amp;st1=Deep+Learning&amp;nlo=&amp;nlr=&amp;nls=&amp;sid=a813be2cf34a980aabe91dba51f0a804&amp;sot=b&amp;sdt=b&amp;sl=28&amp;s=TITLE-ABS-KEY%28Deep+Learning%29&amp;relpos=22&amp;citeCnt=0&amp;searchTer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411</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Garcia</dc:creator>
  <cp:keywords/>
  <cp:lastModifiedBy>sergio David mesa buittago</cp:lastModifiedBy>
  <cp:revision>3</cp:revision>
  <cp:lastPrinted>2022-03-26T18:14:00Z</cp:lastPrinted>
  <dcterms:created xsi:type="dcterms:W3CDTF">2022-03-26T19:36:00Z</dcterms:created>
  <dcterms:modified xsi:type="dcterms:W3CDTF">2022-03-26T19:43:00Z</dcterms:modified>
</cp:coreProperties>
</file>