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color w:val="0000ff"/>
          <w:sz w:val="34"/>
          <w:szCs w:val="34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4"/>
          <w:szCs w:val="34"/>
          <w:shd w:fill="cfe2f3" w:val="clear"/>
          <w:rtl w:val="0"/>
        </w:rPr>
        <w:t xml:space="preserve">Accordion default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Para conseguir un acordeón en los que su items sean independientes; se abre y cierra de uno en uno y se pueden tener más de uno abierto a gusto del usuario: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Mediante el bs5-accordion default obtenemos: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"accordion"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"accordionExample"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"accordion-item"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"accordion-header"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"headingOne"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"accordion-button"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"#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collapseOne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"collapseOne"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    Accordion Item #1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&lt;/button&gt;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&lt;/h2&gt;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collapseOne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"accordion-collapse collapse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"headingOne"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highlight w:val="yellow"/>
          <w:rtl w:val="0"/>
        </w:rPr>
        <w:t xml:space="preserve">data-bs-parent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"#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accordionExample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hd w:fill="f3f3f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3f3f3" w:val="clear"/>
          <w:rtl w:val="0"/>
        </w:rPr>
        <w:t xml:space="preserve">"accordion-body"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    This is the first item's accordion body.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hd w:fill="f3f3f3" w:val="clear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Quitando la clase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yellow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 hacemos que al principio el item esté contraído.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Cada item debe tener un identificador diferente. En el ejemplo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shd w:fill="f3f3f3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shd w:fill="f3f3f3" w:val="clear"/>
          <w:rtl w:val="0"/>
        </w:rPr>
        <w:t xml:space="preserve">"#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highlight w:val="yellow"/>
          <w:rtl w:val="0"/>
        </w:rPr>
        <w:t xml:space="preserve">collapseOne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shd w:fill="f3f3f3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que referencia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shd w:fill="f3f3f3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shd w:fill="f3f3f3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shd w:fill="f3f3f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shd w:fill="f3f3f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highlight w:val="yellow"/>
          <w:rtl w:val="0"/>
        </w:rPr>
        <w:t xml:space="preserve">collapseOne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shd w:fill="f3f3f3" w:val="clear"/>
          <w:rtl w:val="0"/>
        </w:rPr>
        <w:t xml:space="preserve">"...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30"/>
          <w:szCs w:val="3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Si eliminamos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highlight w:val="yellow"/>
          <w:rtl w:val="0"/>
        </w:rPr>
        <w:t xml:space="preserve">data-bs-parent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highlight w:val="yellow"/>
          <w:rtl w:val="0"/>
        </w:rPr>
        <w:t xml:space="preserve">"#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highlight w:val="yellow"/>
          <w:rtl w:val="0"/>
        </w:rPr>
        <w:t xml:space="preserve">accordionExample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highlight w:val="yellow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3f3f3" w:val="clear"/>
          <w:rtl w:val="0"/>
        </w:rPr>
        <w:t xml:space="preserve">de cada items, hacemos que estos sean totalmente independientes. Al abrir uno no se cierra el anterior y podemos tener abiertos o cerrados varios a petición del usuario.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