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专利申请技术交底书</w:t>
      </w:r>
    </w:p>
    <w:tbl>
      <w:tblPr>
        <w:tblStyle w:val="TableGrid"/>
        <w:tblW w:type="auto" w:w="0"/>
        <w:tblLook w:firstColumn="1" w:firstRow="1" w:lastColumn="0" w:lastRow="0" w:noHBand="0" w:noVBand="1" w:val="04A0"/>
      </w:tblPr>
      <w:tblGrid>
        <w:gridCol w:w="4939"/>
        <w:gridCol w:w="4939"/>
      </w:tblGrid>
      <w:tr>
        <w:tc>
          <w:tcPr>
            <w:tcW w:type="dxa" w:w="4939"/>
            <w:shd w:fill="EDEDED"/>
          </w:tcPr>
          <w:p>
            <w:r/>
            <w:r>
              <w:rPr>
                <w:rFonts w:ascii="宋体" w:hAnsi="宋体" w:eastAsia="宋体"/>
                <w:b/>
                <w:sz w:val="21"/>
              </w:rPr>
              <w:t>交底书名称</w:t>
            </w:r>
          </w:p>
        </w:tc>
        <w:tc>
          <w:tcPr>
            <w:tcW w:type="dxa" w:w="4939"/>
          </w:tcPr>
          <w:p>
            <w:r/>
            <w:r>
              <w:rPr>
                <w:rFonts w:ascii="宋体" w:hAnsi="宋体" w:eastAsia="宋体"/>
                <w:b w:val="0"/>
                <w:sz w:val="21"/>
              </w:rPr>
              <w:t>一种面向风电机组运维的本地化证据约束大语言模型策略链故障诊断方法及系统</w:t>
            </w:r>
          </w:p>
        </w:tc>
      </w:tr>
      <w:tr>
        <w:tc>
          <w:tcPr>
            <w:tcW w:type="dxa" w:w="4939"/>
            <w:shd w:fill="EDEDED"/>
          </w:tcPr>
          <w:p>
            <w:r/>
            <w:r>
              <w:rPr>
                <w:rFonts w:ascii="宋体" w:hAnsi="宋体" w:eastAsia="宋体"/>
                <w:b/>
                <w:sz w:val="21"/>
              </w:rPr>
              <w:t>技术联系人姓名及其电话、email</w:t>
            </w:r>
          </w:p>
        </w:tc>
        <w:tc>
          <w:tcPr>
            <w:tcW w:type="dxa" w:w="4939"/>
          </w:tcPr>
          <w:p>
            <w:r/>
            <w:r>
              <w:rPr>
                <w:rFonts w:ascii="宋体" w:hAnsi="宋体" w:eastAsia="宋体"/>
                <w:b w:val="0"/>
                <w:sz w:val="21"/>
              </w:rPr>
              <w:t>[待填写：技术联系人、电话、邮箱]</w:t>
            </w:r>
          </w:p>
        </w:tc>
      </w:tr>
      <w:tr>
        <w:tc>
          <w:tcPr>
            <w:tcW w:type="dxa" w:w="4939"/>
            <w:shd w:fill="EDEDED"/>
          </w:tcPr>
          <w:p>
            <w:r/>
            <w:r>
              <w:rPr>
                <w:rFonts w:ascii="宋体" w:hAnsi="宋体" w:eastAsia="宋体"/>
                <w:b/>
                <w:sz w:val="21"/>
              </w:rPr>
              <w:t>经办人姓名及其电话、email</w:t>
            </w:r>
          </w:p>
        </w:tc>
        <w:tc>
          <w:tcPr>
            <w:tcW w:type="dxa" w:w="4939"/>
          </w:tcPr>
          <w:p>
            <w:r/>
            <w:r>
              <w:rPr>
                <w:rFonts w:ascii="宋体" w:hAnsi="宋体" w:eastAsia="宋体"/>
                <w:b w:val="0"/>
                <w:sz w:val="21"/>
              </w:rPr>
              <w:t>[待填写：经办人、电话、邮箱；如不填写，则默认技术联系人为负责人]</w:t>
            </w:r>
          </w:p>
        </w:tc>
      </w:tr>
      <w:tr>
        <w:tc>
          <w:tcPr>
            <w:tcW w:type="dxa" w:w="4939"/>
            <w:shd w:fill="EDEDED"/>
          </w:tcPr>
          <w:p>
            <w:r/>
            <w:r>
              <w:rPr>
                <w:rFonts w:ascii="宋体" w:hAnsi="宋体" w:eastAsia="宋体"/>
                <w:b/>
                <w:sz w:val="21"/>
              </w:rPr>
              <w:t>是否仅用于申请政府高新资质或政府项目</w:t>
            </w:r>
          </w:p>
        </w:tc>
        <w:tc>
          <w:tcPr>
            <w:tcW w:type="dxa" w:w="4939"/>
          </w:tcPr>
          <w:p>
            <w:r/>
            <w:r>
              <w:rPr>
                <w:rFonts w:ascii="宋体" w:hAnsi="宋体" w:eastAsia="宋体"/>
                <w:b w:val="0"/>
                <w:sz w:val="21"/>
              </w:rPr>
              <w:t>[待确认]</w:t>
            </w:r>
          </w:p>
        </w:tc>
      </w:tr>
      <w:tr>
        <w:tc>
          <w:tcPr>
            <w:tcW w:type="dxa" w:w="4939"/>
            <w:shd w:fill="EDEDED"/>
          </w:tcPr>
          <w:p>
            <w:r/>
            <w:r>
              <w:rPr>
                <w:rFonts w:ascii="宋体" w:hAnsi="宋体" w:eastAsia="宋体"/>
                <w:b/>
                <w:sz w:val="21"/>
              </w:rPr>
              <w:t>是否将来申请国外专利</w:t>
            </w:r>
          </w:p>
        </w:tc>
        <w:tc>
          <w:tcPr>
            <w:tcW w:type="dxa" w:w="4939"/>
          </w:tcPr>
          <w:p>
            <w:r/>
            <w:r>
              <w:rPr>
                <w:rFonts w:ascii="宋体" w:hAnsi="宋体" w:eastAsia="宋体"/>
                <w:b w:val="0"/>
                <w:sz w:val="21"/>
              </w:rPr>
              <w:t>[待确认]</w:t>
            </w:r>
          </w:p>
        </w:tc>
      </w:tr>
      <w:tr>
        <w:tc>
          <w:tcPr>
            <w:tcW w:type="dxa" w:w="4939"/>
            <w:shd w:fill="EDEDED"/>
          </w:tcPr>
          <w:p>
            <w:r/>
            <w:r>
              <w:rPr>
                <w:rFonts w:ascii="宋体" w:hAnsi="宋体" w:eastAsia="宋体"/>
                <w:b/>
                <w:sz w:val="21"/>
              </w:rPr>
              <w:t>备注</w:t>
            </w:r>
          </w:p>
        </w:tc>
        <w:tc>
          <w:tcPr>
            <w:tcW w:type="dxa" w:w="4939"/>
          </w:tcPr>
          <w:p>
            <w:r/>
            <w:r>
              <w:rPr>
                <w:rFonts w:ascii="宋体" w:hAnsi="宋体" w:eastAsia="宋体"/>
                <w:b w:val="0"/>
                <w:sz w:val="21"/>
              </w:rPr>
              <w:t>本交底书根据论文《Evidence-Grounded LLM Strategy Chains for Localized Wind Turbine Fault Operations and Maintenance》整理，申请主体、发明人、公开状态和提交策略需由申请人进一步确认。</w:t>
            </w:r>
          </w:p>
        </w:tc>
      </w:tr>
    </w:tbl>
    <w:p>
      <w:r>
        <w:rPr>
          <w:rFonts w:ascii="黑体" w:hAnsi="黑体" w:eastAsia="黑体"/>
          <w:b/>
          <w:sz w:val="28"/>
        </w:rPr>
        <w:t>一、与本专利最接近的现有技术</w:t>
      </w:r>
    </w:p>
    <w:p>
      <w:r>
        <w:rPr>
          <w:rFonts w:ascii="黑体" w:hAnsi="黑体" w:eastAsia="黑体"/>
          <w:b/>
          <w:sz w:val="24"/>
        </w:rPr>
        <w:t>1、现有技术的方案简述</w:t>
      </w:r>
    </w:p>
    <w:p>
      <w:pPr>
        <w:spacing w:line="276" w:lineRule="auto"/>
        <w:ind w:firstLine="420"/>
      </w:pPr>
      <w:r>
        <w:rPr>
          <w:rFonts w:ascii="宋体" w:hAnsi="宋体" w:eastAsia="宋体"/>
          <w:sz w:val="21"/>
        </w:rPr>
        <w:t>风电机组运维现场通常依赖故障码表、设备手册、历史维修记录、工单、案例报告以及技术人员经验进行故障判断。现有数字化运维方案主要包括关键字检索、SCADA监测平台、静态知识库、预测性维护模型以及普通大语言模型问答或普通RAG检索问答。上述方案能够在一定程度上提高资料检索效率，但多数方案仍以非结构化文本片段、单一故障码或单一监测信号为处理对象。</w:t>
      </w:r>
    </w:p>
    <w:p>
      <w:pPr>
        <w:spacing w:line="276" w:lineRule="auto"/>
        <w:ind w:firstLine="420"/>
      </w:pPr>
      <w:r>
        <w:rPr>
          <w:rFonts w:ascii="宋体" w:hAnsi="宋体" w:eastAsia="宋体"/>
          <w:sz w:val="21"/>
        </w:rPr>
        <w:t>在普通检索或普通RAG方案中，系统通常根据用户输入召回若干文本片段，再由语言模型生成自然语言答复。该过程缺少对风场、机型、品牌、控制系统、部件和会话状态的严格绑定，也缺少对“故障码—适用机型—系统—部件—原因—处置—来源文档”之间关系的显式表达。对于同一数字故障码在不同品牌或不同机型中含义不同的情况，普通文本检索容易返回看似相关但不适用于当前机组的内容。</w:t>
      </w:r>
    </w:p>
    <w:p>
      <w:pPr>
        <w:spacing w:line="276" w:lineRule="auto"/>
        <w:ind w:firstLine="420"/>
      </w:pPr>
      <w:r>
        <w:rPr>
          <w:rFonts w:ascii="宋体" w:hAnsi="宋体" w:eastAsia="宋体"/>
          <w:sz w:val="21"/>
        </w:rPr>
        <w:t>现有基于传感器或SCADA的故障诊断方法侧重数值异常检测、振动分析或预测模型，能够发现状态异常，但通常不能直接解决文档级维修推理问题，例如定位适用手册、解释型号限定的故障码、给出可审计的来源路径以及在多轮现场反馈中继续执行同一故障分支。</w:t>
      </w:r>
    </w:p>
    <w:p>
      <w:r>
        <w:rPr>
          <w:rFonts w:ascii="黑体" w:hAnsi="黑体" w:eastAsia="黑体"/>
          <w:b/>
          <w:sz w:val="24"/>
        </w:rPr>
        <w:t>2、现有技术的客观缺点</w:t>
      </w:r>
    </w:p>
    <w:p>
      <w:pPr>
        <w:ind w:left="360" w:hanging="360"/>
      </w:pPr>
      <w:r>
        <w:rPr>
          <w:rFonts w:ascii="宋体" w:hAnsi="宋体" w:eastAsia="宋体"/>
          <w:sz w:val="21"/>
        </w:rPr>
        <w:t>• 缺少型号和场景范围约束：同一故障码在不同机型、品牌或控制系统下可能对应不同含义，普通文本检索不能可靠消歧。</w:t>
      </w:r>
    </w:p>
    <w:p>
      <w:pPr>
        <w:ind w:left="360" w:hanging="360"/>
      </w:pPr>
      <w:r>
        <w:rPr>
          <w:rFonts w:ascii="宋体" w:hAnsi="宋体" w:eastAsia="宋体"/>
          <w:sz w:val="21"/>
        </w:rPr>
        <w:t>• 缺少结构化证据路径：普通RAG返回片段，但不显式保存故障、部件、原因、动作、来源文档及机理之间的关系，答案难以审计。</w:t>
      </w:r>
    </w:p>
    <w:p>
      <w:pPr>
        <w:ind w:left="360" w:hanging="360"/>
      </w:pPr>
      <w:r>
        <w:rPr>
          <w:rFonts w:ascii="宋体" w:hAnsi="宋体" w:eastAsia="宋体"/>
          <w:sz w:val="21"/>
        </w:rPr>
        <w:t>• 缺少机理级推理链：传统故障-现象-处置模式不能解释为何检查某个信号、如何验证根因以及如何预防复发。</w:t>
      </w:r>
    </w:p>
    <w:p>
      <w:pPr>
        <w:ind w:left="360" w:hanging="360"/>
      </w:pPr>
      <w:r>
        <w:rPr>
          <w:rFonts w:ascii="宋体" w:hAnsi="宋体" w:eastAsia="宋体"/>
          <w:sz w:val="21"/>
        </w:rPr>
        <w:t>• 缺少假设鉴别能力：现场多个原因可能产生相同报警，现有方案难以区分真实物理故障、传感误差、边界条件影响或控制时序伪原因。</w:t>
      </w:r>
    </w:p>
    <w:p>
      <w:pPr>
        <w:ind w:left="360" w:hanging="360"/>
      </w:pPr>
      <w:r>
        <w:rPr>
          <w:rFonts w:ascii="宋体" w:hAnsi="宋体" w:eastAsia="宋体"/>
          <w:sz w:val="21"/>
        </w:rPr>
        <w:t>• 缺少多轮状态保持：维修人员给出简短反馈时，普通问答系统往往将其视为新问题，不能延续前一轮验证动作和分支判断。</w:t>
      </w:r>
    </w:p>
    <w:p>
      <w:r>
        <w:rPr>
          <w:rFonts w:ascii="黑体" w:hAnsi="黑体" w:eastAsia="黑体"/>
          <w:b/>
          <w:sz w:val="28"/>
        </w:rPr>
        <w:t>二、本专利的技术</w:t>
      </w:r>
    </w:p>
    <w:p>
      <w:r>
        <w:rPr>
          <w:rFonts w:ascii="黑体" w:hAnsi="黑体" w:eastAsia="黑体"/>
          <w:b/>
          <w:sz w:val="24"/>
        </w:rPr>
        <w:t>（1）具体方案</w:t>
      </w:r>
    </w:p>
    <w:p>
      <w:pPr>
        <w:spacing w:line="276" w:lineRule="auto"/>
        <w:ind w:firstLine="420"/>
      </w:pPr>
      <w:r>
        <w:rPr>
          <w:rFonts w:ascii="宋体" w:hAnsi="宋体" w:eastAsia="宋体"/>
          <w:sz w:val="21"/>
        </w:rPr>
        <w:t>本专利提出一种面向风电机组运维的本地化证据约束大语言模型策略链故障诊断方法及系统。该方案将本地运维文档转换为结构化故障条目、知识图谱、机理模板和可读知识页面，在问答阶段利用本地证据包约束大语言模型，使其输出具有适用范围、可能机理、现场验证动作、接受准则和来源路径的运维处置建议。</w:t>
      </w:r>
    </w:p>
    <w:p>
      <w:r>
        <w:drawing>
          <wp:inline xmlns:a="http://schemas.openxmlformats.org/drawingml/2006/main" xmlns:pic="http://schemas.openxmlformats.org/drawingml/2006/picture">
            <wp:extent cx="6035040" cy="3428936"/>
            <wp:docPr id="1" name="Picture 1"/>
            <wp:cNvGraphicFramePr>
              <a:graphicFrameLocks noChangeAspect="1"/>
            </wp:cNvGraphicFramePr>
            <a:graphic>
              <a:graphicData uri="http://schemas.openxmlformats.org/drawingml/2006/picture">
                <pic:pic>
                  <pic:nvPicPr>
                    <pic:cNvPr id="0" name="图1_系统架构.png"/>
                    <pic:cNvPicPr/>
                  </pic:nvPicPr>
                  <pic:blipFill>
                    <a:blip r:embed="rId9"/>
                    <a:stretch>
                      <a:fillRect/>
                    </a:stretch>
                  </pic:blipFill>
                  <pic:spPr>
                    <a:xfrm>
                      <a:off x="0" y="0"/>
                      <a:ext cx="6035040" cy="3428936"/>
                    </a:xfrm>
                    <a:prstGeom prst="rect"/>
                  </pic:spPr>
                </pic:pic>
              </a:graphicData>
            </a:graphic>
          </wp:inline>
        </w:drawing>
      </w:r>
    </w:p>
    <w:p>
      <w:pPr>
        <w:jc w:val="center"/>
      </w:pPr>
      <w:r>
        <w:rPr>
          <w:rFonts w:ascii="宋体" w:hAnsi="宋体" w:eastAsia="宋体"/>
          <w:sz w:val="18"/>
        </w:rPr>
        <w:t>图1  本地化风电运维证据约束LLM系统架构</w:t>
      </w:r>
    </w:p>
    <w:p>
      <w:r>
        <w:drawing>
          <wp:inline xmlns:a="http://schemas.openxmlformats.org/drawingml/2006/main" xmlns:pic="http://schemas.openxmlformats.org/drawingml/2006/picture">
            <wp:extent cx="6035040" cy="3428936"/>
            <wp:docPr id="2" name="Picture 2"/>
            <wp:cNvGraphicFramePr>
              <a:graphicFrameLocks noChangeAspect="1"/>
            </wp:cNvGraphicFramePr>
            <a:graphic>
              <a:graphicData uri="http://schemas.openxmlformats.org/drawingml/2006/picture">
                <pic:pic>
                  <pic:nvPicPr>
                    <pic:cNvPr id="0" name="图2_知识构建流程.png"/>
                    <pic:cNvPicPr/>
                  </pic:nvPicPr>
                  <pic:blipFill>
                    <a:blip r:embed="rId10"/>
                    <a:stretch>
                      <a:fillRect/>
                    </a:stretch>
                  </pic:blipFill>
                  <pic:spPr>
                    <a:xfrm>
                      <a:off x="0" y="0"/>
                      <a:ext cx="6035040" cy="3428936"/>
                    </a:xfrm>
                    <a:prstGeom prst="rect"/>
                  </pic:spPr>
                </pic:pic>
              </a:graphicData>
            </a:graphic>
          </wp:inline>
        </w:drawing>
      </w:r>
    </w:p>
    <w:p>
      <w:pPr>
        <w:jc w:val="center"/>
      </w:pPr>
      <w:r>
        <w:rPr>
          <w:rFonts w:ascii="宋体" w:hAnsi="宋体" w:eastAsia="宋体"/>
          <w:sz w:val="18"/>
        </w:rPr>
        <w:t>图2  本地运维知识构建流程</w:t>
      </w:r>
    </w:p>
    <w:p>
      <w:r>
        <w:drawing>
          <wp:inline xmlns:a="http://schemas.openxmlformats.org/drawingml/2006/main" xmlns:pic="http://schemas.openxmlformats.org/drawingml/2006/picture">
            <wp:extent cx="6035040" cy="3237972"/>
            <wp:docPr id="3" name="Picture 3"/>
            <wp:cNvGraphicFramePr>
              <a:graphicFrameLocks noChangeAspect="1"/>
            </wp:cNvGraphicFramePr>
            <a:graphic>
              <a:graphicData uri="http://schemas.openxmlformats.org/drawingml/2006/picture">
                <pic:pic>
                  <pic:nvPicPr>
                    <pic:cNvPr id="0" name="图3_范围绑定策略链.png"/>
                    <pic:cNvPicPr/>
                  </pic:nvPicPr>
                  <pic:blipFill>
                    <a:blip r:embed="rId11"/>
                    <a:stretch>
                      <a:fillRect/>
                    </a:stretch>
                  </pic:blipFill>
                  <pic:spPr>
                    <a:xfrm>
                      <a:off x="0" y="0"/>
                      <a:ext cx="6035040" cy="3237972"/>
                    </a:xfrm>
                    <a:prstGeom prst="rect"/>
                  </pic:spPr>
                </pic:pic>
              </a:graphicData>
            </a:graphic>
          </wp:inline>
        </w:drawing>
      </w:r>
    </w:p>
    <w:p>
      <w:pPr>
        <w:jc w:val="center"/>
      </w:pPr>
      <w:r>
        <w:rPr>
          <w:rFonts w:ascii="宋体" w:hAnsi="宋体" w:eastAsia="宋体"/>
          <w:sz w:val="18"/>
        </w:rPr>
        <w:t>图3  模型范围绑定、证据包生成与策略链交互</w:t>
      </w:r>
    </w:p>
    <w:p>
      <w:r>
        <w:drawing>
          <wp:inline xmlns:a="http://schemas.openxmlformats.org/drawingml/2006/main" xmlns:pic="http://schemas.openxmlformats.org/drawingml/2006/picture">
            <wp:extent cx="6035040" cy="3428936"/>
            <wp:docPr id="4" name="Picture 4"/>
            <wp:cNvGraphicFramePr>
              <a:graphicFrameLocks noChangeAspect="1"/>
            </wp:cNvGraphicFramePr>
            <a:graphic>
              <a:graphicData uri="http://schemas.openxmlformats.org/drawingml/2006/picture">
                <pic:pic>
                  <pic:nvPicPr>
                    <pic:cNvPr id="0" name="图4_机理增强推理图.png"/>
                    <pic:cNvPicPr/>
                  </pic:nvPicPr>
                  <pic:blipFill>
                    <a:blip r:embed="rId12"/>
                    <a:stretch>
                      <a:fillRect/>
                    </a:stretch>
                  </pic:blipFill>
                  <pic:spPr>
                    <a:xfrm>
                      <a:off x="0" y="0"/>
                      <a:ext cx="6035040" cy="3428936"/>
                    </a:xfrm>
                    <a:prstGeom prst="rect"/>
                  </pic:spPr>
                </pic:pic>
              </a:graphicData>
            </a:graphic>
          </wp:inline>
        </w:drawing>
      </w:r>
    </w:p>
    <w:p>
      <w:pPr>
        <w:jc w:val="center"/>
      </w:pPr>
      <w:r>
        <w:rPr>
          <w:rFonts w:ascii="宋体" w:hAnsi="宋体" w:eastAsia="宋体"/>
          <w:sz w:val="18"/>
        </w:rPr>
        <w:t>图4  机理增强推理图与假设鉴别闭环</w:t>
      </w:r>
    </w:p>
    <w:p>
      <w:r>
        <w:drawing>
          <wp:inline xmlns:a="http://schemas.openxmlformats.org/drawingml/2006/main" xmlns:pic="http://schemas.openxmlformats.org/drawingml/2006/picture">
            <wp:extent cx="6035040" cy="3703049"/>
            <wp:docPr id="5" name="Picture 5"/>
            <wp:cNvGraphicFramePr>
              <a:graphicFrameLocks noChangeAspect="1"/>
            </wp:cNvGraphicFramePr>
            <a:graphic>
              <a:graphicData uri="http://schemas.openxmlformats.org/drawingml/2006/picture">
                <pic:pic>
                  <pic:nvPicPr>
                    <pic:cNvPr id="0" name="图5_评估结果.png"/>
                    <pic:cNvPicPr/>
                  </pic:nvPicPr>
                  <pic:blipFill>
                    <a:blip r:embed="rId13"/>
                    <a:stretch>
                      <a:fillRect/>
                    </a:stretch>
                  </pic:blipFill>
                  <pic:spPr>
                    <a:xfrm>
                      <a:off x="0" y="0"/>
                      <a:ext cx="6035040" cy="3703049"/>
                    </a:xfrm>
                    <a:prstGeom prst="rect"/>
                  </pic:spPr>
                </pic:pic>
              </a:graphicData>
            </a:graphic>
          </wp:inline>
        </w:drawing>
      </w:r>
    </w:p>
    <w:p>
      <w:pPr>
        <w:jc w:val="center"/>
      </w:pPr>
      <w:r>
        <w:rPr>
          <w:rFonts w:ascii="宋体" w:hAnsi="宋体" w:eastAsia="宋体"/>
          <w:sz w:val="18"/>
        </w:rPr>
        <w:t>图5  知识资产规模、机理图谱组成与覆盖效果</w:t>
      </w:r>
    </w:p>
    <w:p>
      <w:r>
        <w:drawing>
          <wp:inline xmlns:a="http://schemas.openxmlformats.org/drawingml/2006/main" xmlns:pic="http://schemas.openxmlformats.org/drawingml/2006/picture">
            <wp:extent cx="6035040" cy="3428936"/>
            <wp:docPr id="6" name="Picture 6"/>
            <wp:cNvGraphicFramePr>
              <a:graphicFrameLocks noChangeAspect="1"/>
            </wp:cNvGraphicFramePr>
            <a:graphic>
              <a:graphicData uri="http://schemas.openxmlformats.org/drawingml/2006/picture">
                <pic:pic>
                  <pic:nvPicPr>
                    <pic:cNvPr id="0" name="图6_案例与对比.png"/>
                    <pic:cNvPicPr/>
                  </pic:nvPicPr>
                  <pic:blipFill>
                    <a:blip r:embed="rId14"/>
                    <a:stretch>
                      <a:fillRect/>
                    </a:stretch>
                  </pic:blipFill>
                  <pic:spPr>
                    <a:xfrm>
                      <a:off x="0" y="0"/>
                      <a:ext cx="6035040" cy="3428936"/>
                    </a:xfrm>
                    <a:prstGeom prst="rect"/>
                  </pic:spPr>
                </pic:pic>
              </a:graphicData>
            </a:graphic>
          </wp:inline>
        </w:drawing>
      </w:r>
    </w:p>
    <w:p>
      <w:pPr>
        <w:jc w:val="center"/>
      </w:pPr>
      <w:r>
        <w:rPr>
          <w:rFonts w:ascii="宋体" w:hAnsi="宋体" w:eastAsia="宋体"/>
          <w:sz w:val="18"/>
        </w:rPr>
        <w:t>图6  代表性故障案例与普通RAG功能对比</w:t>
      </w:r>
    </w:p>
    <w:p>
      <w:pPr>
        <w:spacing w:line="276" w:lineRule="auto"/>
        <w:ind w:firstLine="420"/>
      </w:pPr>
      <w:r>
        <w:rPr>
          <w:rFonts w:ascii="宋体" w:hAnsi="宋体" w:eastAsia="宋体"/>
          <w:sz w:val="21"/>
        </w:rPr>
        <w:t>如图1所示，系统包括数据层、知识层和推理层。数据层接入本地手册、故障码表、案例报告、维修工单和问答轨迹；知识层执行字段归一化、证据化故障条目构建、知识图谱构建、机理模板生成以及Wiki与索引输出；推理层执行意图路由、范围绑定、图增强检索、策略链控制和受约束生成。大语言模型不作为独立事实来源，而是仅对证据包和当前故障状态进行语言组织和策略控制。</w:t>
      </w:r>
    </w:p>
    <w:p>
      <w:pPr>
        <w:spacing w:line="276" w:lineRule="auto"/>
        <w:ind w:firstLine="420"/>
      </w:pPr>
      <w:r>
        <w:rPr>
          <w:rFonts w:ascii="宋体" w:hAnsi="宋体" w:eastAsia="宋体"/>
          <w:sz w:val="21"/>
        </w:rPr>
        <w:t>如图2所示，知识构建流程包括文档登记、文本与表格解析、领域字段识别、别名归一化、证据化故障条目生成以及关系与机理生成。该流程的输出包括故障索引、知识图谱、机理模板和可读Wiki页面，从而使非结构化本地资料变成可检索、可回溯、可供策略链调用的结构化证据资产。</w:t>
      </w:r>
    </w:p>
    <w:p>
      <w:pPr>
        <w:spacing w:line="276" w:lineRule="auto"/>
        <w:ind w:firstLine="420"/>
      </w:pPr>
      <w:r>
        <w:rPr>
          <w:rFonts w:ascii="宋体" w:hAnsi="宋体" w:eastAsia="宋体"/>
          <w:sz w:val="21"/>
        </w:rPr>
        <w:t>故障条目可表示为式（1）。</w:t>
      </w:r>
    </w:p>
    <w:p>
      <w:pPr>
        <w:jc w:val="center"/>
      </w:pPr>
      <m:oMath>
        <m:sSub>
          <m:e>
            <m:r>
              <m:rPr>
                <m:sty m:val="p"/>
              </m:rPr>
              <m:t>f</m:t>
            </m:r>
          </m:e>
          <m:sub>
            <m:r>
              <m:rPr>
                <m:sty m:val="p"/>
              </m:rPr>
              <m:t>i</m:t>
            </m:r>
          </m:sub>
        </m:sSub>
        <m:r>
          <m:rPr>
            <m:sty m:val="p"/>
          </m:rPr>
          <m:t>=</m:t>
        </m:r>
        <m:r>
          <m:rPr>
            <m:sty m:val="p"/>
          </m:rPr>
          <m:t>(</m:t>
        </m:r>
        <m:sSub>
          <m:e>
            <m:r>
              <m:rPr>
                <m:sty m:val="p"/>
              </m:rPr>
              <m:t>c</m:t>
            </m:r>
          </m:e>
          <m:sub>
            <m:r>
              <m:rPr>
                <m:sty m:val="p"/>
              </m:rPr>
              <m:t>i</m:t>
            </m:r>
          </m:sub>
        </m:sSub>
        <m:r>
          <m:rPr>
            <m:sty m:val="p"/>
          </m:rPr>
          <m:t>,</m:t>
        </m:r>
        <m:sSub>
          <m:e>
            <m:r>
              <m:rPr>
                <m:sty m:val="p"/>
              </m:rPr>
              <m:t>m</m:t>
            </m:r>
          </m:e>
          <m:sub>
            <m:r>
              <m:rPr>
                <m:sty m:val="p"/>
              </m:rPr>
              <m:t>i</m:t>
            </m:r>
          </m:sub>
        </m:sSub>
        <m:r>
          <m:rPr>
            <m:sty m:val="p"/>
          </m:rPr>
          <m:t>,</m:t>
        </m:r>
        <m:sSub>
          <m:e>
            <m:r>
              <m:rPr>
                <m:sty m:val="p"/>
              </m:rPr>
              <m:t>b</m:t>
            </m:r>
          </m:e>
          <m:sub>
            <m:r>
              <m:rPr>
                <m:sty m:val="p"/>
              </m:rPr>
              <m:t>i</m:t>
            </m:r>
          </m:sub>
        </m:sSub>
        <m:r>
          <m:rPr>
            <m:sty m:val="p"/>
          </m:rPr>
          <m:t>,</m:t>
        </m:r>
        <m:sSub>
          <m:e>
            <m:r>
              <m:rPr>
                <m:sty m:val="p"/>
              </m:rPr>
              <m:t>s</m:t>
            </m:r>
          </m:e>
          <m:sub>
            <m:r>
              <m:rPr>
                <m:sty m:val="p"/>
              </m:rPr>
              <m:t>i</m:t>
            </m:r>
          </m:sub>
        </m:sSub>
        <m:r>
          <m:rPr>
            <m:sty m:val="p"/>
          </m:rPr>
          <m:t>,</m:t>
        </m:r>
        <m:sSub>
          <m:e>
            <m:r>
              <m:rPr>
                <m:sty m:val="p"/>
              </m:rPr>
              <m:t>p</m:t>
            </m:r>
          </m:e>
          <m:sub>
            <m:r>
              <m:rPr>
                <m:sty m:val="p"/>
              </m:rPr>
              <m:t>i</m:t>
            </m:r>
          </m:sub>
        </m:sSub>
        <m:r>
          <m:rPr>
            <m:sty m:val="p"/>
          </m:rPr>
          <m:t>,</m:t>
        </m:r>
        <m:sSub>
          <m:e>
            <m:r>
              <m:rPr>
                <m:sty m:val="p"/>
              </m:rPr>
              <m:t>r</m:t>
            </m:r>
          </m:e>
          <m:sub>
            <m:r>
              <m:rPr>
                <m:sty m:val="p"/>
              </m:rPr>
              <m:t>i</m:t>
            </m:r>
          </m:sub>
        </m:sSub>
        <m:r>
          <m:rPr>
            <m:sty m:val="p"/>
          </m:rPr>
          <m:t>,</m:t>
        </m:r>
        <m:sSub>
          <m:e>
            <m:r>
              <m:rPr>
                <m:sty m:val="p"/>
              </m:rPr>
              <m:t>a</m:t>
            </m:r>
          </m:e>
          <m:sub>
            <m:r>
              <m:rPr>
                <m:sty m:val="p"/>
              </m:rPr>
              <m:t>i</m:t>
            </m:r>
          </m:sub>
        </m:sSub>
        <m:r>
          <m:rPr>
            <m:sty m:val="p"/>
          </m:rPr>
          <m:t>,</m:t>
        </m:r>
        <m:sSub>
          <m:e>
            <m:r>
              <m:rPr>
                <m:sty m:val="p"/>
              </m:rPr>
              <m:t>e</m:t>
            </m:r>
          </m:e>
          <m:sub>
            <m:r>
              <m:rPr>
                <m:sty m:val="p"/>
              </m:rPr>
              <m:t>i</m:t>
            </m:r>
          </m:sub>
        </m:sSub>
        <m:r>
          <m:rPr>
            <m:sty m:val="p"/>
          </m:rPr>
          <m:t>)</m:t>
        </m:r>
      </m:oMath>
      <w:r>
        <w:rPr>
          <w:rFonts w:ascii="宋体" w:hAnsi="宋体" w:eastAsia="宋体"/>
          <w:sz w:val="21"/>
        </w:rPr>
        <w:t xml:space="preserve">    （1）</w:t>
      </w:r>
    </w:p>
    <w:p>
      <w:pPr>
        <w:spacing w:line="276" w:lineRule="auto"/>
        <w:ind w:firstLine="420"/>
      </w:pPr>
      <w:r>
        <w:rPr>
          <w:rFonts w:ascii="宋体" w:hAnsi="宋体" w:eastAsia="宋体"/>
          <w:sz w:val="21"/>
        </w:rPr>
        <w:t>其中，c_i表示故障码或报警名称，m_i表示适用机型，b_i表示品牌或控制器族，s_i表示系统，p_i表示部件，r_i表示原因描述，a_i表示处置或复位规则，e_i表示证据指针。证据指针至少包括来源文件、路径、章节或页码提示以及原始抽取文本。</w:t>
      </w:r>
    </w:p>
    <w:p>
      <w:pPr>
        <w:spacing w:line="276" w:lineRule="auto"/>
        <w:ind w:firstLine="420"/>
      </w:pPr>
      <w:r>
        <w:rPr>
          <w:rFonts w:ascii="宋体" w:hAnsi="宋体" w:eastAsia="宋体"/>
          <w:sz w:val="21"/>
        </w:rPr>
        <w:t>机理模板可表示为式（2）。</w:t>
      </w:r>
    </w:p>
    <w:p>
      <w:pPr>
        <w:jc w:val="center"/>
      </w:pPr>
      <m:oMath>
        <m:sSub>
          <m:e>
            <m:r>
              <m:rPr>
                <m:sty m:val="p"/>
              </m:rPr>
              <m:t>g</m:t>
            </m:r>
          </m:e>
          <m:sub>
            <m:r>
              <m:rPr>
                <m:sty m:val="p"/>
              </m:rPr>
              <m:t>j</m:t>
            </m:r>
          </m:sub>
        </m:sSub>
        <m:r>
          <m:rPr>
            <m:sty m:val="p"/>
          </m:rPr>
          <m:t>=</m:t>
        </m:r>
        <m:r>
          <m:rPr>
            <m:sty m:val="p"/>
          </m:rPr>
          <m:t>(</m:t>
        </m:r>
        <m:sSub>
          <m:e>
            <m:r>
              <m:rPr>
                <m:sty m:val="p"/>
              </m:rPr>
              <m:t>u</m:t>
            </m:r>
          </m:e>
          <m:sub>
            <m:r>
              <m:rPr>
                <m:sty m:val="p"/>
              </m:rPr>
              <m:t>j</m:t>
            </m:r>
          </m:sub>
        </m:sSub>
        <m:r>
          <m:rPr>
            <m:sty m:val="p"/>
          </m:rPr>
          <m:t>,</m:t>
        </m:r>
        <m:sSub>
          <m:e>
            <m:r>
              <m:rPr>
                <m:sty m:val="p"/>
              </m:rPr>
              <m:t>v</m:t>
            </m:r>
          </m:e>
          <m:sub>
            <m:r>
              <m:rPr>
                <m:sty m:val="p"/>
              </m:rPr>
              <m:t>j</m:t>
            </m:r>
          </m:sub>
        </m:sSub>
        <m:r>
          <m:rPr>
            <m:sty m:val="p"/>
          </m:rPr>
          <m:t>,</m:t>
        </m:r>
        <m:sSub>
          <m:e>
            <m:r>
              <m:rPr>
                <m:sty m:val="p"/>
              </m:rPr>
              <m:t>q</m:t>
            </m:r>
          </m:e>
          <m:sub>
            <m:r>
              <m:rPr>
                <m:sty m:val="p"/>
              </m:rPr>
              <m:t>j</m:t>
            </m:r>
          </m:sub>
        </m:sSub>
        <m:r>
          <m:rPr>
            <m:sty m:val="p"/>
          </m:rPr>
          <m:t>,</m:t>
        </m:r>
        <m:sSub>
          <m:e>
            <m:r>
              <m:rPr>
                <m:sty m:val="p"/>
              </m:rPr>
              <m:t>k</m:t>
            </m:r>
          </m:e>
          <m:sub>
            <m:r>
              <m:rPr>
                <m:sty m:val="p"/>
              </m:rPr>
              <m:t>j</m:t>
            </m:r>
          </m:sub>
        </m:sSub>
        <m:r>
          <m:rPr>
            <m:sty m:val="p"/>
          </m:rPr>
          <m:t>)</m:t>
        </m:r>
      </m:oMath>
      <w:r>
        <w:rPr>
          <w:rFonts w:ascii="宋体" w:hAnsi="宋体" w:eastAsia="宋体"/>
          <w:sz w:val="21"/>
        </w:rPr>
        <w:t xml:space="preserve">    （2）</w:t>
      </w:r>
    </w:p>
    <w:p>
      <w:pPr>
        <w:spacing w:line="276" w:lineRule="auto"/>
        <w:ind w:firstLine="420"/>
      </w:pPr>
      <w:r>
        <w:rPr>
          <w:rFonts w:ascii="宋体" w:hAnsi="宋体" w:eastAsia="宋体"/>
          <w:sz w:val="21"/>
        </w:rPr>
        <w:t>其中，u_j表示典型症状，v_j表示因果因素，q_j表示优先检查项，k_j表示接受准则或分支条件。系统根据系统类型、部件、故障表现、原因术语和推荐动作，将多个故障条目映射至同一机理模板，从而避免仅以孤立故障码输出处置建议。</w:t>
      </w:r>
    </w:p>
    <w:p>
      <w:pPr>
        <w:spacing w:line="276" w:lineRule="auto"/>
        <w:ind w:firstLine="420"/>
      </w:pPr>
      <w:r>
        <w:rPr>
          <w:rFonts w:ascii="宋体" w:hAnsi="宋体" w:eastAsia="宋体"/>
          <w:sz w:val="21"/>
        </w:rPr>
        <w:t>范围绑定得分可表示为式（3）。</w:t>
      </w:r>
    </w:p>
    <w:p>
      <w:pPr>
        <w:jc w:val="center"/>
      </w:pPr>
      <m:oMath>
        <m:r>
          <m:rPr>
            <m:sty m:val="p"/>
          </m:rPr>
          <m:t>s</m:t>
        </m:r>
        <m:r>
          <m:rPr>
            <m:sty m:val="p"/>
          </m:rPr>
          <m:t>c</m:t>
        </m:r>
        <m:r>
          <m:rPr>
            <m:sty m:val="p"/>
          </m:rPr>
          <m:t>o</m:t>
        </m:r>
        <m:r>
          <m:rPr>
            <m:sty m:val="p"/>
          </m:rPr>
          <m:t>r</m:t>
        </m:r>
        <m:r>
          <m:rPr>
            <m:sty m:val="p"/>
          </m:rPr>
          <m:t>e</m:t>
        </m:r>
        <m:r>
          <m:rPr>
            <m:sty m:val="p"/>
          </m:rPr>
          <m:t>(</m:t>
        </m:r>
        <m:sSub>
          <m:e>
            <m:r>
              <m:rPr>
                <m:sty m:val="p"/>
              </m:rPr>
              <m:t>f</m:t>
            </m:r>
          </m:e>
          <m:sub>
            <m:r>
              <m:rPr>
                <m:sty m:val="p"/>
              </m:rPr>
              <m:t>i</m:t>
            </m:r>
          </m:sub>
        </m:sSub>
        <m:r>
          <m:rPr>
            <m:sty m:val="p"/>
          </m:rPr>
          <m:t>,</m:t>
        </m:r>
        <m:r>
          <m:rPr>
            <m:sty m:val="p"/>
          </m:rPr>
          <m:t>q</m:t>
        </m:r>
        <m:r>
          <m:rPr>
            <m:sty m:val="p"/>
          </m:rPr>
          <m:t>)</m:t>
        </m:r>
        <m:r>
          <m:rPr>
            <m:sty m:val="p"/>
          </m:rPr>
          <m:t>=</m:t>
        </m:r>
        <m:sSub>
          <m:e>
            <m:r>
              <m:rPr>
                <m:sty m:val="p"/>
              </m:rPr>
              <m:t>λ</m:t>
            </m:r>
          </m:e>
          <m:sub>
            <m:r>
              <m:rPr>
                <m:sty m:val="p"/>
              </m:rPr>
              <m:t>c</m:t>
            </m:r>
          </m:sub>
        </m:sSub>
        <m:sSub>
          <m:e>
            <m:r>
              <m:rPr>
                <m:sty m:val="p"/>
              </m:rPr>
              <m:t>C</m:t>
            </m:r>
          </m:e>
          <m:sub>
            <m:r>
              <m:rPr>
                <m:sty m:val="p"/>
              </m:rPr>
              <m:t>i</m:t>
            </m:r>
          </m:sub>
        </m:sSub>
        <m:r>
          <m:rPr>
            <m:sty m:val="p"/>
          </m:rPr>
          <m:t>+</m:t>
        </m:r>
        <m:sSub>
          <m:e>
            <m:r>
              <m:rPr>
                <m:sty m:val="p"/>
              </m:rPr>
              <m:t>λ</m:t>
            </m:r>
          </m:e>
          <m:sub>
            <m:r>
              <m:rPr>
                <m:sty m:val="p"/>
              </m:rPr>
              <m:t>m</m:t>
            </m:r>
          </m:sub>
        </m:sSub>
        <m:sSub>
          <m:e>
            <m:r>
              <m:rPr>
                <m:sty m:val="p"/>
              </m:rPr>
              <m:t>M</m:t>
            </m:r>
          </m:e>
          <m:sub>
            <m:r>
              <m:rPr>
                <m:sty m:val="p"/>
              </m:rPr>
              <m:t>i</m:t>
            </m:r>
          </m:sub>
        </m:sSub>
        <m:r>
          <m:rPr>
            <m:sty m:val="p"/>
          </m:rPr>
          <m:t>+</m:t>
        </m:r>
        <m:sSub>
          <m:e>
            <m:r>
              <m:rPr>
                <m:sty m:val="p"/>
              </m:rPr>
              <m:t>λ</m:t>
            </m:r>
          </m:e>
          <m:sub>
            <m:r>
              <m:rPr>
                <m:sty m:val="p"/>
              </m:rPr>
              <m:t>b</m:t>
            </m:r>
          </m:sub>
        </m:sSub>
        <m:sSub>
          <m:e>
            <m:r>
              <m:rPr>
                <m:sty m:val="p"/>
              </m:rPr>
              <m:t>B</m:t>
            </m:r>
          </m:e>
          <m:sub>
            <m:r>
              <m:rPr>
                <m:sty m:val="p"/>
              </m:rPr>
              <m:t>i</m:t>
            </m:r>
          </m:sub>
        </m:sSub>
        <m:r>
          <m:rPr>
            <m:sty m:val="p"/>
          </m:rPr>
          <m:t>+</m:t>
        </m:r>
        <m:sSub>
          <m:e>
            <m:r>
              <m:rPr>
                <m:sty m:val="p"/>
              </m:rPr>
              <m:t>λ</m:t>
            </m:r>
          </m:e>
          <m:sub>
            <m:r>
              <m:rPr>
                <m:sty m:val="p"/>
              </m:rPr>
              <m:t>s</m:t>
            </m:r>
          </m:sub>
        </m:sSub>
        <m:sSub>
          <m:e>
            <m:r>
              <m:rPr>
                <m:sty m:val="p"/>
              </m:rPr>
              <m:t>S</m:t>
            </m:r>
          </m:e>
          <m:sub>
            <m:r>
              <m:rPr>
                <m:sty m:val="p"/>
              </m:rPr>
              <m:t>i</m:t>
            </m:r>
          </m:sub>
        </m:sSub>
        <m:r>
          <m:rPr>
            <m:sty m:val="p"/>
          </m:rPr>
          <m:t>+</m:t>
        </m:r>
        <m:sSub>
          <m:e>
            <m:r>
              <m:rPr>
                <m:sty m:val="p"/>
              </m:rPr>
              <m:t>λ</m:t>
            </m:r>
          </m:e>
          <m:sub>
            <m:r>
              <m:rPr>
                <m:sty m:val="p"/>
              </m:rPr>
              <m:t>h</m:t>
            </m:r>
          </m:sub>
        </m:sSub>
        <m:sSub>
          <m:e>
            <m:r>
              <m:rPr>
                <m:sty m:val="p"/>
              </m:rPr>
              <m:t>H</m:t>
            </m:r>
          </m:e>
          <m:sub>
            <m:r>
              <m:rPr>
                <m:sty m:val="p"/>
              </m:rPr>
              <m:t>i</m:t>
            </m:r>
          </m:sub>
        </m:sSub>
        <m:r>
          <m:rPr>
            <m:sty m:val="p"/>
          </m:rPr>
          <m:t>+</m:t>
        </m:r>
        <m:sSub>
          <m:e>
            <m:r>
              <m:rPr>
                <m:sty m:val="p"/>
              </m:rPr>
              <m:t>λ</m:t>
            </m:r>
          </m:e>
          <m:sub>
            <m:r>
              <m:rPr>
                <m:sty m:val="p"/>
              </m:rPr>
              <m:t>e</m:t>
            </m:r>
          </m:sub>
        </m:sSub>
        <m:sSub>
          <m:e>
            <m:r>
              <m:rPr>
                <m:sty m:val="p"/>
              </m:rPr>
              <m:t>E</m:t>
            </m:r>
          </m:e>
          <m:sub>
            <m:r>
              <m:rPr>
                <m:sty m:val="p"/>
              </m:rPr>
              <m:t>i</m:t>
            </m:r>
          </m:sub>
        </m:sSub>
      </m:oMath>
      <w:r>
        <w:rPr>
          <w:rFonts w:ascii="宋体" w:hAnsi="宋体" w:eastAsia="宋体"/>
          <w:sz w:val="21"/>
        </w:rPr>
        <w:t xml:space="preserve">    （3）</w:t>
      </w:r>
    </w:p>
    <w:p>
      <w:pPr>
        <w:spacing w:line="276" w:lineRule="auto"/>
        <w:ind w:firstLine="420"/>
      </w:pPr>
      <w:r>
        <w:rPr>
          <w:rFonts w:ascii="宋体" w:hAnsi="宋体" w:eastAsia="宋体"/>
          <w:sz w:val="21"/>
        </w:rPr>
        <w:t>其中，C_i表示故障码匹配信号，M_i表示机型一致性，B_i表示品牌一致性，S_i表示系统或部件术语重合度，H_i表示与前序会话状态的一致性，E_i表示来源证据强度。当多个候选故障条目的机型范围互不兼容时，系统不直接合并输出，而是返回缺失范围条件或分别列出候选范围。如图3所示，范围绑定结果与结构化故障条目、图谱邻居、机理链路和来源路径共同形成证据包，策略链据此输出故障含义、可能机理、一个现场验证动作、接受准则和证据路径。</w:t>
      </w:r>
    </w:p>
    <w:p>
      <w:pPr>
        <w:spacing w:line="276" w:lineRule="auto"/>
        <w:ind w:firstLine="420"/>
      </w:pPr>
      <w:r>
        <w:rPr>
          <w:rFonts w:ascii="宋体" w:hAnsi="宋体" w:eastAsia="宋体"/>
          <w:sz w:val="21"/>
        </w:rPr>
        <w:t>如图4所示，机理增强推理图包括故障案例、机理原型、机理层、传播步骤、失效模式、可观测量、验证试验、控制屏障、诊断假设、鉴别证据、反事实测试和判定规则。对于每一故障案例，系统形成式（4）所示的闭环链路。</w:t>
      </w:r>
    </w:p>
    <w:p>
      <w:pPr>
        <w:jc w:val="center"/>
      </w:pPr>
      <m:oMath>
        <m:r>
          <m:rPr>
            <m:sty m:val="p"/>
          </m:rPr>
          <m:t>x</m:t>
        </m:r>
        <m:r>
          <m:rPr>
            <m:sty m:val="p"/>
          </m:rPr>
          <m:t>→</m:t>
        </m:r>
        <m:r>
          <m:rPr>
            <m:sty m:val="p"/>
          </m:rPr>
          <m:t>a</m:t>
        </m:r>
        <m:r>
          <m:rPr>
            <m:sty m:val="p"/>
          </m:rPr>
          <m:t>→</m:t>
        </m:r>
        <m:r>
          <m:rPr>
            <m:sty m:val="p"/>
          </m:rPr>
          <m:t>l</m:t>
        </m:r>
        <m:r>
          <m:rPr>
            <m:sty m:val="p"/>
          </m:rPr>
          <m:t>→</m:t>
        </m:r>
        <m:r>
          <m:rPr>
            <m:sty m:val="p"/>
          </m:rPr>
          <m:t>p</m:t>
        </m:r>
        <m:r>
          <m:rPr>
            <m:sty m:val="p"/>
          </m:rPr>
          <m:t>→</m:t>
        </m:r>
        <m:r>
          <m:rPr>
            <m:sty m:val="p"/>
          </m:rPr>
          <m:t>z</m:t>
        </m:r>
        <m:r>
          <m:rPr>
            <m:sty m:val="p"/>
          </m:rPr>
          <m:t>→</m:t>
        </m:r>
        <m:r>
          <m:rPr>
            <m:sty m:val="p"/>
          </m:rPr>
          <m:t>o</m:t>
        </m:r>
        <m:r>
          <m:rPr>
            <m:sty m:val="p"/>
          </m:rPr>
          <m:t>→</m:t>
        </m:r>
        <m:r>
          <m:rPr>
            <m:sty m:val="p"/>
          </m:rPr>
          <m:t>t</m:t>
        </m:r>
        <m:r>
          <m:rPr>
            <m:sty m:val="p"/>
          </m:rPr>
          <m:t>→</m:t>
        </m:r>
        <m:r>
          <m:rPr>
            <m:sty m:val="p"/>
          </m:rPr>
          <m:t>b</m:t>
        </m:r>
      </m:oMath>
      <w:r>
        <w:rPr>
          <w:rFonts w:ascii="宋体" w:hAnsi="宋体" w:eastAsia="宋体"/>
          <w:sz w:val="21"/>
        </w:rPr>
        <w:t xml:space="preserve">    （4）</w:t>
      </w:r>
    </w:p>
    <w:p>
      <w:pPr>
        <w:spacing w:line="276" w:lineRule="auto"/>
        <w:ind w:firstLine="420"/>
      </w:pPr>
      <w:r>
        <w:rPr>
          <w:rFonts w:ascii="宋体" w:hAnsi="宋体" w:eastAsia="宋体"/>
          <w:sz w:val="21"/>
        </w:rPr>
        <w:t>其中，x为故障案例，a为机理原型，l为机理层，p为传播步骤，z为失效模式，o为可观测量，t为验证试验，b为控制屏障。</w:t>
      </w:r>
    </w:p>
    <w:p>
      <w:pPr>
        <w:spacing w:line="276" w:lineRule="auto"/>
        <w:ind w:firstLine="420"/>
      </w:pPr>
      <w:r>
        <w:rPr>
          <w:rFonts w:ascii="宋体" w:hAnsi="宋体" w:eastAsia="宋体"/>
          <w:sz w:val="21"/>
        </w:rPr>
        <w:t>系统还为诊断鉴别建立式（5）所示的假设链路。</w:t>
      </w:r>
    </w:p>
    <w:p>
      <w:pPr>
        <w:jc w:val="center"/>
      </w:pPr>
      <m:oMath>
        <m:r>
          <m:rPr>
            <m:sty m:val="p"/>
          </m:rPr>
          <m:t>x</m:t>
        </m:r>
        <m:r>
          <m:rPr>
            <m:sty m:val="p"/>
          </m:rPr>
          <m:t>→</m:t>
        </m:r>
        <m:r>
          <m:rPr>
            <m:sty m:val="p"/>
          </m:rPr>
          <m:t>h</m:t>
        </m:r>
        <m:r>
          <m:rPr>
            <m:sty m:val="p"/>
          </m:rPr>
          <m:t>→</m:t>
        </m:r>
        <m:r>
          <m:rPr>
            <m:sty m:val="p"/>
          </m:rPr>
          <m:t>{</m:t>
        </m:r>
        <m:sSub>
          <m:e>
            <m:r>
              <m:rPr>
                <m:sty m:val="p"/>
              </m:rPr>
              <m:t>e</m:t>
            </m:r>
          </m:e>
          <m:sub>
            <m:r>
              <m:rPr>
                <m:sty m:val="p"/>
              </m:rPr>
              <m:t>d</m:t>
            </m:r>
          </m:sub>
        </m:sSub>
        <m:r>
          <m:rPr>
            <m:sty m:val="p"/>
          </m:rPr>
          <m:t>,</m:t>
        </m:r>
        <m:sSub>
          <m:e>
            <m:r>
              <m:rPr>
                <m:sty m:val="p"/>
              </m:rPr>
              <m:t>t</m:t>
            </m:r>
          </m:e>
          <m:sub>
            <m:r>
              <m:rPr>
                <m:sty m:val="p"/>
              </m:rPr>
              <m:t>c</m:t>
            </m:r>
          </m:sub>
        </m:sSub>
        <m:r>
          <m:rPr>
            <m:sty m:val="p"/>
          </m:rPr>
          <m:t>,</m:t>
        </m:r>
        <m:sSub>
          <m:e>
            <m:r>
              <m:rPr>
                <m:sty m:val="p"/>
              </m:rPr>
              <m:t>r</m:t>
            </m:r>
          </m:e>
          <m:sub>
            <m:r>
              <m:rPr>
                <m:sty m:val="p"/>
              </m:rPr>
              <m:t>d</m:t>
            </m:r>
          </m:sub>
        </m:sSub>
        <m:r>
          <m:rPr>
            <m:sty m:val="p"/>
          </m:rPr>
          <m:t>}</m:t>
        </m:r>
      </m:oMath>
      <w:r>
        <w:rPr>
          <w:rFonts w:ascii="宋体" w:hAnsi="宋体" w:eastAsia="宋体"/>
          <w:sz w:val="21"/>
        </w:rPr>
        <w:t xml:space="preserve">    （5）</w:t>
      </w:r>
    </w:p>
    <w:p>
      <w:pPr>
        <w:spacing w:line="276" w:lineRule="auto"/>
        <w:ind w:firstLine="420"/>
      </w:pPr>
      <w:r>
        <w:rPr>
          <w:rFonts w:ascii="宋体" w:hAnsi="宋体" w:eastAsia="宋体"/>
          <w:sz w:val="21"/>
        </w:rPr>
        <w:t>其中，h为诊断假设，e_d为鉴别证据，t_c为反事实测试，r_d为判定规则。当故障案例匹配两个机理原型时，系统形成成对竞争假设；当故障案例只有单一主导机理时，系统形成单机理反事实假设，用于排除测量伪差、边界条件影响或控制时序伪原因。</w:t>
      </w:r>
    </w:p>
    <w:p>
      <w:pPr>
        <w:spacing w:line="276" w:lineRule="auto"/>
        <w:ind w:firstLine="420"/>
      </w:pPr>
      <w:r>
        <w:rPr>
          <w:rFonts w:ascii="宋体" w:hAnsi="宋体" w:eastAsia="宋体"/>
          <w:sz w:val="21"/>
        </w:rPr>
        <w:t>大语言模型策略链维护当前故障对象、模型范围、已召回证据、已完成验证动作、用户反馈和剩余分支。每轮输出限定为故障含义、适用范围、可能机理、一个优先现场验证动作、接受准则和证据路径。维修人员返回简短反馈后，系统将该反馈解释为上一验证动作的观测结果，并根据判定规则进入下一分支。</w:t>
      </w:r>
    </w:p>
    <w:p>
      <w:r>
        <w:rPr>
          <w:rFonts w:ascii="黑体" w:hAnsi="黑体" w:eastAsia="黑体"/>
          <w:b/>
          <w:sz w:val="24"/>
        </w:rPr>
        <w:t>典型实施例中的故障处置样例</w:t>
      </w:r>
    </w:p>
    <w:tbl>
      <w:tblPr>
        <w:tblStyle w:val="TableGrid"/>
        <w:tblW w:type="auto" w:w="0"/>
        <w:tblLook w:firstColumn="1" w:firstRow="1" w:lastColumn="0" w:lastRow="0" w:noHBand="0" w:noVBand="1" w:val="04A0"/>
      </w:tblPr>
      <w:tblGrid>
        <w:gridCol w:w="2469"/>
        <w:gridCol w:w="2469"/>
        <w:gridCol w:w="2469"/>
        <w:gridCol w:w="2469"/>
      </w:tblGrid>
      <w:tr>
        <w:tc>
          <w:tcPr>
            <w:tcW w:type="dxa" w:w="2469"/>
            <w:shd w:fill="EDEDED"/>
          </w:tcPr>
          <w:p>
            <w:r/>
            <w:r>
              <w:rPr>
                <w:rFonts w:ascii="宋体" w:hAnsi="宋体" w:eastAsia="宋体"/>
                <w:b/>
                <w:sz w:val="21"/>
              </w:rPr>
              <w:t>案例</w:t>
            </w:r>
          </w:p>
        </w:tc>
        <w:tc>
          <w:tcPr>
            <w:tcW w:type="dxa" w:w="2469"/>
            <w:shd w:fill="EDEDED"/>
          </w:tcPr>
          <w:p>
            <w:r/>
            <w:r>
              <w:rPr>
                <w:rFonts w:ascii="宋体" w:hAnsi="宋体" w:eastAsia="宋体"/>
                <w:b/>
                <w:sz w:val="21"/>
              </w:rPr>
              <w:t>机理链</w:t>
            </w:r>
          </w:p>
        </w:tc>
        <w:tc>
          <w:tcPr>
            <w:tcW w:type="dxa" w:w="2469"/>
            <w:shd w:fill="EDEDED"/>
          </w:tcPr>
          <w:p>
            <w:r/>
            <w:r>
              <w:rPr>
                <w:rFonts w:ascii="宋体" w:hAnsi="宋体" w:eastAsia="宋体"/>
                <w:b/>
                <w:sz w:val="21"/>
              </w:rPr>
              <w:t>关键证据</w:t>
            </w:r>
          </w:p>
        </w:tc>
        <w:tc>
          <w:tcPr>
            <w:tcW w:type="dxa" w:w="2469"/>
            <w:shd w:fill="EDEDED"/>
          </w:tcPr>
          <w:p>
            <w:r/>
            <w:r>
              <w:rPr>
                <w:rFonts w:ascii="宋体" w:hAnsi="宋体" w:eastAsia="宋体"/>
                <w:b/>
                <w:sz w:val="21"/>
              </w:rPr>
              <w:t>建议动作</w:t>
            </w:r>
          </w:p>
        </w:tc>
      </w:tr>
      <w:tr>
        <w:tc>
          <w:tcPr>
            <w:tcW w:type="dxa" w:w="2469"/>
          </w:tcPr>
          <w:p>
            <w:r/>
            <w:r>
              <w:rPr>
                <w:rFonts w:ascii="宋体" w:hAnsi="宋体" w:eastAsia="宋体"/>
                <w:b w:val="0"/>
                <w:sz w:val="21"/>
              </w:rPr>
              <w:t>变流器IGBT板故障</w:t>
            </w:r>
          </w:p>
        </w:tc>
        <w:tc>
          <w:tcPr>
            <w:tcW w:type="dxa" w:w="2469"/>
          </w:tcPr>
          <w:p>
            <w:r/>
            <w:r>
              <w:rPr>
                <w:rFonts w:ascii="宋体" w:hAnsi="宋体" w:eastAsia="宋体"/>
                <w:b w:val="0"/>
                <w:sz w:val="21"/>
              </w:rPr>
              <w:t>电网波动、粉尘、盐雾、湿度或散热不良导致驱动板短路、电容损坏、温升和变流器跳闸。</w:t>
            </w:r>
          </w:p>
        </w:tc>
        <w:tc>
          <w:tcPr>
            <w:tcW w:type="dxa" w:w="2469"/>
          </w:tcPr>
          <w:p>
            <w:r/>
            <w:r>
              <w:rPr>
                <w:rFonts w:ascii="宋体" w:hAnsi="宋体" w:eastAsia="宋体"/>
                <w:b w:val="0"/>
                <w:sz w:val="21"/>
              </w:rPr>
              <w:t>ISU SC、INU SC报警；K8接触器不能闭合；温度传感器未显示异常；改造后运行温度降低。</w:t>
            </w:r>
          </w:p>
        </w:tc>
        <w:tc>
          <w:tcPr>
            <w:tcW w:type="dxa" w:w="2469"/>
          </w:tcPr>
          <w:p>
            <w:r/>
            <w:r>
              <w:rPr>
                <w:rFonts w:ascii="宋体" w:hAnsi="宋体" w:eastAsia="宋体"/>
                <w:b w:val="0"/>
                <w:sz w:val="21"/>
              </w:rPr>
              <w:t>更换IGBT驱动板，清洁过滤网，改善通风除湿，并监测板卡温度。</w:t>
            </w:r>
          </w:p>
        </w:tc>
      </w:tr>
      <w:tr>
        <w:tc>
          <w:tcPr>
            <w:tcW w:type="dxa" w:w="2469"/>
          </w:tcPr>
          <w:p>
            <w:r/>
            <w:r>
              <w:rPr>
                <w:rFonts w:ascii="宋体" w:hAnsi="宋体" w:eastAsia="宋体"/>
                <w:b w:val="0"/>
                <w:sz w:val="21"/>
              </w:rPr>
              <w:t>偏航液压压力异常</w:t>
            </w:r>
          </w:p>
        </w:tc>
        <w:tc>
          <w:tcPr>
            <w:tcW w:type="dxa" w:w="2469"/>
          </w:tcPr>
          <w:p>
            <w:r/>
            <w:r>
              <w:rPr>
                <w:rFonts w:ascii="宋体" w:hAnsi="宋体" w:eastAsia="宋体"/>
                <w:b w:val="0"/>
                <w:sz w:val="21"/>
              </w:rPr>
              <w:t>隐藏阻尼缓冲结构堵塞限制液压回路油流，造成压力恢复慢和液压站欠压。</w:t>
            </w:r>
          </w:p>
        </w:tc>
        <w:tc>
          <w:tcPr>
            <w:tcW w:type="dxa" w:w="2469"/>
          </w:tcPr>
          <w:p>
            <w:r/>
            <w:r>
              <w:rPr>
                <w:rFonts w:ascii="宋体" w:hAnsi="宋体" w:eastAsia="宋体"/>
                <w:b w:val="0"/>
                <w:sz w:val="21"/>
              </w:rPr>
              <w:t>手动释放偏航制动时压力由151 bar降至27 bar，恢复至150 bar约300 s；清洗后11 s升至153 bar。</w:t>
            </w:r>
          </w:p>
        </w:tc>
        <w:tc>
          <w:tcPr>
            <w:tcW w:type="dxa" w:w="2469"/>
          </w:tcPr>
          <w:p>
            <w:r/>
            <w:r>
              <w:rPr>
                <w:rFonts w:ascii="宋体" w:hAnsi="宋体" w:eastAsia="宋体"/>
                <w:b w:val="0"/>
                <w:sz w:val="21"/>
              </w:rPr>
              <w:t>清洗柱塞孔和阻尼缓冲件，调整缓冲开度，必要时更换改进缓冲件并更新液压图纸。</w:t>
            </w:r>
          </w:p>
        </w:tc>
      </w:tr>
      <w:tr>
        <w:tc>
          <w:tcPr>
            <w:tcW w:type="dxa" w:w="2469"/>
          </w:tcPr>
          <w:p>
            <w:r/>
            <w:r>
              <w:rPr>
                <w:rFonts w:ascii="宋体" w:hAnsi="宋体" w:eastAsia="宋体"/>
                <w:b w:val="0"/>
                <w:sz w:val="21"/>
              </w:rPr>
              <w:t>主轴承复合磨损</w:t>
            </w:r>
          </w:p>
        </w:tc>
        <w:tc>
          <w:tcPr>
            <w:tcW w:type="dxa" w:w="2469"/>
          </w:tcPr>
          <w:p>
            <w:r/>
            <w:r>
              <w:rPr>
                <w:rFonts w:ascii="宋体" w:hAnsi="宋体" w:eastAsia="宋体"/>
                <w:b w:val="0"/>
                <w:sz w:val="21"/>
              </w:rPr>
              <w:t>高海拔温差、湍流载荷、润滑污染、同轴度偏差和密封老化导致油膜破裂与剥落。</w:t>
            </w:r>
          </w:p>
        </w:tc>
        <w:tc>
          <w:tcPr>
            <w:tcW w:type="dxa" w:w="2469"/>
          </w:tcPr>
          <w:p>
            <w:r/>
            <w:r>
              <w:rPr>
                <w:rFonts w:ascii="宋体" w:hAnsi="宋体" w:eastAsia="宋体"/>
                <w:b w:val="0"/>
                <w:sz w:val="21"/>
              </w:rPr>
              <w:t>振动速度4.8 mm/s，峭度8.7，金属碎屑1200 ppm，同轴度偏差0.15 mm，内外圈剥落。</w:t>
            </w:r>
          </w:p>
        </w:tc>
        <w:tc>
          <w:tcPr>
            <w:tcW w:type="dxa" w:w="2469"/>
          </w:tcPr>
          <w:p>
            <w:r/>
            <w:r>
              <w:rPr>
                <w:rFonts w:ascii="宋体" w:hAnsi="宋体" w:eastAsia="宋体"/>
                <w:b w:val="0"/>
                <w:sz w:val="21"/>
              </w:rPr>
              <w:t>停机，更换轴承，清洗润滑腔，修复轴颈，升级密封及在线滤油。</w:t>
            </w:r>
          </w:p>
        </w:tc>
      </w:tr>
      <w:tr>
        <w:tc>
          <w:tcPr>
            <w:tcW w:type="dxa" w:w="2469"/>
          </w:tcPr>
          <w:p>
            <w:r/>
            <w:r>
              <w:rPr>
                <w:rFonts w:ascii="宋体" w:hAnsi="宋体" w:eastAsia="宋体"/>
                <w:b w:val="0"/>
                <w:sz w:val="21"/>
              </w:rPr>
              <w:t>发电机绕组温度跳变</w:t>
            </w:r>
          </w:p>
        </w:tc>
        <w:tc>
          <w:tcPr>
            <w:tcW w:type="dxa" w:w="2469"/>
          </w:tcPr>
          <w:p>
            <w:r/>
            <w:r>
              <w:rPr>
                <w:rFonts w:ascii="宋体" w:hAnsi="宋体" w:eastAsia="宋体"/>
                <w:b w:val="0"/>
                <w:sz w:val="21"/>
              </w:rPr>
              <w:t>屏蔽接地不良、线缆布置不规范和电磁耦合导致Pt100模拟温度信号畸变。</w:t>
            </w:r>
          </w:p>
        </w:tc>
        <w:tc>
          <w:tcPr>
            <w:tcW w:type="dxa" w:w="2469"/>
          </w:tcPr>
          <w:p>
            <w:r/>
            <w:r>
              <w:rPr>
                <w:rFonts w:ascii="宋体" w:hAnsi="宋体" w:eastAsia="宋体"/>
                <w:b w:val="0"/>
                <w:sz w:val="21"/>
              </w:rPr>
              <w:t>温度在70至135摄氏度之间跳变；停机时稳定；并网后波动增强；通道互换排除PLC模块故障。</w:t>
            </w:r>
          </w:p>
        </w:tc>
        <w:tc>
          <w:tcPr>
            <w:tcW w:type="dxa" w:w="2469"/>
          </w:tcPr>
          <w:p>
            <w:r/>
            <w:r>
              <w:rPr>
                <w:rFonts w:ascii="宋体" w:hAnsi="宋体" w:eastAsia="宋体"/>
                <w:b w:val="0"/>
                <w:sz w:val="21"/>
              </w:rPr>
              <w:t>检查Pt100阻值，互换采集通道，修复屏蔽接地，更换信号线，必要时切换备用传感器。</w:t>
            </w:r>
          </w:p>
        </w:tc>
      </w:tr>
    </w:tbl>
    <w:p>
      <w:r>
        <w:rPr>
          <w:rFonts w:ascii="黑体" w:hAnsi="黑体" w:eastAsia="黑体"/>
          <w:b/>
          <w:sz w:val="24"/>
        </w:rPr>
        <w:t>（2）技术效果</w:t>
      </w:r>
    </w:p>
    <w:p>
      <w:pPr>
        <w:spacing w:line="276" w:lineRule="auto"/>
        <w:ind w:firstLine="420"/>
      </w:pPr>
      <w:r>
        <w:rPr>
          <w:rFonts w:ascii="宋体" w:hAnsi="宋体" w:eastAsia="宋体"/>
          <w:sz w:val="21"/>
        </w:rPr>
        <w:t>通过将本地运维文档转换为结构化故障条目和知识图谱，本方案能够在故障码检索时同时考虑机型、品牌、系统、部件和会话状态，减少跨机型误匹配导致的错误建议。</w:t>
      </w:r>
    </w:p>
    <w:p>
      <w:pPr>
        <w:spacing w:line="276" w:lineRule="auto"/>
        <w:ind w:firstLine="420"/>
      </w:pPr>
      <w:r>
        <w:rPr>
          <w:rFonts w:ascii="宋体" w:hAnsi="宋体" w:eastAsia="宋体"/>
          <w:sz w:val="21"/>
        </w:rPr>
        <w:t>通过证据包约束大语言模型，本方案使生成答案中的关键结论均可回溯至本地文档或图谱路径，便于维修人员、技术专家和审计人员复核。</w:t>
      </w:r>
    </w:p>
    <w:p>
      <w:pPr>
        <w:spacing w:line="276" w:lineRule="auto"/>
        <w:ind w:firstLine="420"/>
      </w:pPr>
      <w:r>
        <w:rPr>
          <w:rFonts w:ascii="宋体" w:hAnsi="宋体" w:eastAsia="宋体"/>
          <w:sz w:val="21"/>
        </w:rPr>
        <w:t>通过机理增强推理链，本方案把传统故障-证据-处置关系扩展为故障-机理原型-失效模式-传播步骤-可观测量-验证试验-控制屏障的闭环链路，使系统不仅能够给出处置动作，还能解释为何执行该检查以及如何预防复发。</w:t>
      </w:r>
    </w:p>
    <w:p>
      <w:pPr>
        <w:spacing w:line="276" w:lineRule="auto"/>
        <w:ind w:firstLine="420"/>
      </w:pPr>
      <w:r>
        <w:rPr>
          <w:rFonts w:ascii="宋体" w:hAnsi="宋体" w:eastAsia="宋体"/>
          <w:sz w:val="21"/>
        </w:rPr>
        <w:t>通过诊断假设和反事实测试，本方案能够在多个可能原因之间形成可验证的鉴别路径，避免将传感器误差、采集链路问题、边界条件或控制时序伪原因误判为真实物理故障。</w:t>
      </w:r>
    </w:p>
    <w:p>
      <w:pPr>
        <w:spacing w:line="276" w:lineRule="auto"/>
        <w:ind w:firstLine="420"/>
      </w:pPr>
      <w:r>
        <w:rPr>
          <w:rFonts w:ascii="宋体" w:hAnsi="宋体" w:eastAsia="宋体"/>
          <w:sz w:val="21"/>
        </w:rPr>
        <w:t>根据论文实施数据，如图5所示，原型系统覆盖11865条原始故障记录、22680个图谱节点、79474条图谱关系、4849个故障码节点和8295个来源文档节点；机理增强推理图包含2326个节点和3567条关系，在33个代表性故障案例上机理闭环覆盖率、假设鉴别覆盖率和机理画像完整率均达到100%。如图6所示，代表性案例覆盖变流器IGBT板、偏航液压压力、主轴承复合磨损和绕组温度跳变等不同机理类型，相比普通RAG更强调模型范围、机理链路、证据路径和多轮现场状态。</w:t>
      </w:r>
    </w:p>
    <w:p>
      <w:r>
        <w:rPr>
          <w:rFonts w:ascii="黑体" w:hAnsi="黑体" w:eastAsia="黑体"/>
          <w:b/>
          <w:sz w:val="28"/>
        </w:rPr>
        <w:t>三、上述技术方案是否有替代方案</w:t>
      </w:r>
    </w:p>
    <w:p>
      <w:pPr>
        <w:ind w:left="360" w:hanging="360"/>
      </w:pPr>
      <w:r>
        <w:rPr>
          <w:rFonts w:ascii="宋体" w:hAnsi="宋体" w:eastAsia="宋体"/>
          <w:sz w:val="21"/>
        </w:rPr>
        <w:t>• 文档来源可替换为数据库、对象存储、企业知识库、文件系统同步目录、SCADA事件记录或维修工单系统，只要能够保留来源路径和原始证据片段即可。</w:t>
      </w:r>
    </w:p>
    <w:p>
      <w:pPr>
        <w:ind w:left="360" w:hanging="360"/>
      </w:pPr>
      <w:r>
        <w:rPr>
          <w:rFonts w:ascii="宋体" w:hAnsi="宋体" w:eastAsia="宋体"/>
          <w:sz w:val="21"/>
        </w:rPr>
        <w:t>• 知识图谱可采用文件型图数据、关系型数据库、图数据库、向量数据库与结构化索引混合实现，图谱存储方式不限制本方案的保护范围。</w:t>
      </w:r>
    </w:p>
    <w:p>
      <w:pPr>
        <w:ind w:left="360" w:hanging="360"/>
      </w:pPr>
      <w:r>
        <w:rPr>
          <w:rFonts w:ascii="宋体" w:hAnsi="宋体" w:eastAsia="宋体"/>
          <w:sz w:val="21"/>
        </w:rPr>
        <w:t>• 大语言模型可为本地部署模型、企业内网模型服务或经批准的云端模型接口；事实生成仍由本地证据包约束。</w:t>
      </w:r>
    </w:p>
    <w:p>
      <w:pPr>
        <w:ind w:left="360" w:hanging="360"/>
      </w:pPr>
      <w:r>
        <w:rPr>
          <w:rFonts w:ascii="宋体" w:hAnsi="宋体" w:eastAsia="宋体"/>
          <w:sz w:val="21"/>
        </w:rPr>
        <w:t>• 范围绑定得分中的权重λ_c、λ_m、λ_b、λ_s、λ_h、λ_e可通过人工配置、规则学习或历史维修反馈自动调整。</w:t>
      </w:r>
    </w:p>
    <w:p>
      <w:pPr>
        <w:ind w:left="360" w:hanging="360"/>
      </w:pPr>
      <w:r>
        <w:rPr>
          <w:rFonts w:ascii="宋体" w:hAnsi="宋体" w:eastAsia="宋体"/>
          <w:sz w:val="21"/>
        </w:rPr>
        <w:t>• 机理模板可由人工专家配置、从历史案例半自动抽取或由规则与模型共同生成；机理原型数量和名称可根据风机类型扩展。</w:t>
      </w:r>
    </w:p>
    <w:p>
      <w:pPr>
        <w:ind w:left="360" w:hanging="360"/>
      </w:pPr>
      <w:r>
        <w:rPr>
          <w:rFonts w:ascii="宋体" w:hAnsi="宋体" w:eastAsia="宋体"/>
          <w:sz w:val="21"/>
        </w:rPr>
        <w:t>• 策略链可输出单一优先动作，也可输出按风险等级排序的多个动作；对于高风险操作可增加人工确认节点。</w:t>
      </w:r>
    </w:p>
    <w:p>
      <w:pPr>
        <w:ind w:left="360" w:hanging="360"/>
      </w:pPr>
      <w:r>
        <w:rPr>
          <w:rFonts w:ascii="宋体" w:hAnsi="宋体" w:eastAsia="宋体"/>
          <w:sz w:val="21"/>
        </w:rPr>
        <w:t>• 诊断假设可采用成对竞争、单机理反事实、多假设排序或概率图模型等实现形式。</w:t>
      </w:r>
    </w:p>
    <w:p>
      <w:r>
        <w:rPr>
          <w:rFonts w:ascii="黑体" w:hAnsi="黑体" w:eastAsia="黑体"/>
          <w:b/>
          <w:sz w:val="28"/>
        </w:rPr>
        <w:t>四、本发明的关键技术点</w:t>
      </w:r>
    </w:p>
    <w:p>
      <w:pPr>
        <w:ind w:left="360" w:hanging="360"/>
      </w:pPr>
      <w:r>
        <w:rPr>
          <w:rFonts w:ascii="宋体" w:hAnsi="宋体" w:eastAsia="宋体"/>
          <w:sz w:val="21"/>
        </w:rPr>
        <w:t>1. 将本地运维文档解析为带来源证据指针的结构化故障条目，而不是仅建立普通文本片段索引。</w:t>
      </w:r>
    </w:p>
    <w:p>
      <w:pPr>
        <w:ind w:left="360" w:hanging="360"/>
      </w:pPr>
      <w:r>
        <w:rPr>
          <w:rFonts w:ascii="宋体" w:hAnsi="宋体" w:eastAsia="宋体"/>
          <w:sz w:val="21"/>
        </w:rPr>
        <w:t>2. 在故障码问答前进行风场、机型、品牌、系统、部件和会话状态的范围绑定，解决同码异义和跨机型误匹配问题。</w:t>
      </w:r>
    </w:p>
    <w:p>
      <w:pPr>
        <w:ind w:left="360" w:hanging="360"/>
      </w:pPr>
      <w:r>
        <w:rPr>
          <w:rFonts w:ascii="宋体" w:hAnsi="宋体" w:eastAsia="宋体"/>
          <w:sz w:val="21"/>
        </w:rPr>
        <w:t>3. 构建包含机理原型、失效模式、传播步骤、可观测量、验证试验和控制屏障的机理增强推理图。</w:t>
      </w:r>
    </w:p>
    <w:p>
      <w:pPr>
        <w:ind w:left="360" w:hanging="360"/>
      </w:pPr>
      <w:r>
        <w:rPr>
          <w:rFonts w:ascii="宋体" w:hAnsi="宋体" w:eastAsia="宋体"/>
          <w:sz w:val="21"/>
        </w:rPr>
        <w:t>4. 为每个故障案例建立诊断假设、鉴别证据、反事实测试和判定规则，以支持可证伪的现场排查。</w:t>
      </w:r>
    </w:p>
    <w:p>
      <w:pPr>
        <w:ind w:left="360" w:hanging="360"/>
      </w:pPr>
      <w:r>
        <w:rPr>
          <w:rFonts w:ascii="宋体" w:hAnsi="宋体" w:eastAsia="宋体"/>
          <w:sz w:val="21"/>
        </w:rPr>
        <w:t>5. 将结构化故障条目、图谱邻居、机理链和来源路径压缩为证据包，并用证据包约束大语言模型生成。</w:t>
      </w:r>
    </w:p>
    <w:p>
      <w:pPr>
        <w:ind w:left="360" w:hanging="360"/>
      </w:pPr>
      <w:r>
        <w:rPr>
          <w:rFonts w:ascii="宋体" w:hAnsi="宋体" w:eastAsia="宋体"/>
          <w:sz w:val="21"/>
        </w:rPr>
        <w:t>6. 维护多轮故障策略状态，使维修人员的简短反馈能够被解释为上一现场验证动作的观测结果并进入下一分支。</w:t>
      </w:r>
    </w:p>
    <w:p>
      <w:pPr>
        <w:ind w:left="360" w:hanging="360"/>
      </w:pPr>
      <w:r>
        <w:rPr>
          <w:rFonts w:ascii="宋体" w:hAnsi="宋体" w:eastAsia="宋体"/>
          <w:sz w:val="21"/>
        </w:rPr>
        <w:t>7. 输出包含故障含义、适用范围、可能机理、优先验证动作、接受准则和证据路径的运维处置建议。</w:t>
      </w:r>
    </w:p>
    <w:p>
      <w:r>
        <w:rPr>
          <w:rFonts w:ascii="黑体" w:hAnsi="黑体" w:eastAsia="黑体"/>
          <w:b/>
          <w:sz w:val="28"/>
        </w:rPr>
        <w:t>五、其他有助于理解本申请提案的技术资料</w:t>
      </w:r>
    </w:p>
    <w:p>
      <w:pPr>
        <w:ind w:left="360" w:hanging="360"/>
      </w:pPr>
      <w:r>
        <w:rPr>
          <w:rFonts w:ascii="宋体" w:hAnsi="宋体" w:eastAsia="宋体"/>
          <w:sz w:val="21"/>
        </w:rPr>
        <w:t>• 论文题目：Evidence-Grounded LLM Strategy Chains for Localized Wind Turbine Fault Operations and Maintenance。</w:t>
      </w:r>
    </w:p>
    <w:p>
      <w:pPr>
        <w:ind w:left="360" w:hanging="360"/>
      </w:pPr>
      <w:r>
        <w:rPr>
          <w:rFonts w:ascii="宋体" w:hAnsi="宋体" w:eastAsia="宋体"/>
          <w:sz w:val="21"/>
        </w:rPr>
        <w:t>• 本地论文源文件：bare_jrnl_new_sample4.tex；论文图文件目录：figures/。</w:t>
      </w:r>
    </w:p>
    <w:p>
      <w:pPr>
        <w:ind w:left="360" w:hanging="360"/>
      </w:pPr>
      <w:r>
        <w:rPr>
          <w:rFonts w:ascii="宋体" w:hAnsi="宋体" w:eastAsia="宋体"/>
          <w:sz w:val="21"/>
        </w:rPr>
        <w:t>• 实施规模：11865条原始故障记录、22680个图谱节点、79474条图谱关系、4849个故障码节点、8295个来源文档节点、66种机型、29个风场和12个机理模板。</w:t>
      </w:r>
    </w:p>
    <w:p>
      <w:pPr>
        <w:ind w:left="360" w:hanging="360"/>
      </w:pPr>
      <w:r>
        <w:rPr>
          <w:rFonts w:ascii="宋体" w:hAnsi="宋体" w:eastAsia="宋体"/>
          <w:sz w:val="21"/>
        </w:rPr>
        <w:t>• 机理增强评估：33个代表性故障案例均具备机理原型、失效模式、可观测量、验证试验、控制屏障、诊断假设、鉴别证据、反事实测试和判定规则。</w:t>
      </w:r>
    </w:p>
    <w:p>
      <w:pPr>
        <w:ind w:left="360" w:hanging="360"/>
      </w:pPr>
      <w:r>
        <w:rPr>
          <w:rFonts w:ascii="宋体" w:hAnsi="宋体" w:eastAsia="宋体"/>
          <w:sz w:val="21"/>
        </w:rPr>
        <w:t>• 待申请人确认事项：申请人、发明人、技术联系人、经办人、是否已公开论文或演示、是否计划国外申请、是否包含未公开的企业文档或客户数据。</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