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00"/>
        <w:jc w:val="center"/>
        <w:pBdr>
          <w:bottom w:val="single" w:sz="10" w:space="1" w:color="1F4E79"/>
        </w:pBdr>
      </w:pPr>
      <w:r>
        <w:t>华能吉林公司智能助手用户使用手册</w:t>
      </w:r>
    </w:p>
    <w:p>
      <w:pPr>
        <w:spacing w:after="80"/>
      </w:pPr>
      <w:r>
        <w:t>适用对象：风场运行、检修、集控和值班人员。</w:t>
      </w:r>
    </w:p>
    <w:p>
      <w:pPr>
        <w:pStyle w:val="ManualQuote"/>
        <w:spacing w:before="80" w:after="120"/>
        <w:ind w:left="288"/>
        <w:shd w:fill="F7F7F7"/>
      </w:pPr>
      <w:r>
        <w:t>使用原则：现场最终判断仍以 HMI/SCADA 原始报警、趋势量、就地检查结果和现场安全规程为准。智能助手用于辅助检索、整理和复盘，不替代现场处置流程。</w:t>
      </w:r>
    </w:p>
    <w:p>
      <w:pPr>
        <w:spacing w:before="0" w:after="400"/>
        <w:jc w:val="center"/>
      </w:pPr>
      <w:r>
        <w:rPr>
          <w:rFonts w:ascii="黑体" w:hAnsi="黑体" w:eastAsia="黑体"/>
          <w:b/>
          <w:color w:val="1F4E79"/>
          <w:sz w:val="36"/>
        </w:rPr>
        <w:t>目录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1. 访问系统并登录</w:t>
      </w:r>
      <w:r>
        <w:rPr>
          <w:rFonts w:ascii="Times New Roman" w:hAnsi="Times New Roman"/>
          <w:sz w:val="22"/>
        </w:rPr>
        <w:tab/>
        <w:t>3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2. 熟悉首页布局</w:t>
      </w:r>
      <w:r>
        <w:rPr>
          <w:rFonts w:ascii="Times New Roman" w:hAnsi="Times New Roman"/>
          <w:sz w:val="22"/>
        </w:rPr>
        <w:tab/>
        <w:t>4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3. 发送第一个问题</w:t>
      </w:r>
      <w:r>
        <w:rPr>
          <w:rFonts w:ascii="Times New Roman" w:hAnsi="Times New Roman"/>
          <w:sz w:val="22"/>
        </w:rPr>
        <w:tab/>
        <w:t>5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4. 按故障码查询</w:t>
      </w:r>
      <w:r>
        <w:rPr>
          <w:rFonts w:ascii="Times New Roman" w:hAnsi="Times New Roman"/>
          <w:sz w:val="22"/>
        </w:rPr>
        <w:tab/>
        <w:t>6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5. 按提示补充厂家、机型或风场</w:t>
      </w:r>
      <w:r>
        <w:rPr>
          <w:rFonts w:ascii="Times New Roman" w:hAnsi="Times New Roman"/>
          <w:sz w:val="22"/>
        </w:rPr>
        <w:tab/>
        <w:t>7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6. 按现象模糊查询</w:t>
      </w:r>
      <w:r>
        <w:rPr>
          <w:rFonts w:ascii="Times New Roman" w:hAnsi="Times New Roman"/>
          <w:sz w:val="22"/>
        </w:rPr>
        <w:tab/>
        <w:t>8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7. 提问知识类问题</w:t>
      </w:r>
      <w:r>
        <w:rPr>
          <w:rFonts w:ascii="Times New Roman" w:hAnsi="Times New Roman"/>
          <w:sz w:val="22"/>
        </w:rPr>
        <w:tab/>
        <w:t>9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8. 查看回答中的关键字段</w:t>
      </w:r>
      <w:r>
        <w:rPr>
          <w:rFonts w:ascii="Times New Roman" w:hAnsi="Times New Roman"/>
          <w:sz w:val="22"/>
        </w:rPr>
        <w:tab/>
        <w:t>10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9. 下载对话记录</w:t>
      </w:r>
      <w:r>
        <w:rPr>
          <w:rFonts w:ascii="Times New Roman" w:hAnsi="Times New Roman"/>
          <w:sz w:val="22"/>
        </w:rPr>
        <w:tab/>
        <w:t>11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10. 使用关键信息提取器</w:t>
      </w:r>
      <w:r>
        <w:rPr>
          <w:rFonts w:ascii="Times New Roman" w:hAnsi="Times New Roman"/>
          <w:sz w:val="22"/>
        </w:rPr>
        <w:tab/>
        <w:t>12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11. 修改密码</w:t>
      </w:r>
      <w:r>
        <w:rPr>
          <w:rFonts w:ascii="Times New Roman" w:hAnsi="Times New Roman"/>
          <w:sz w:val="22"/>
        </w:rPr>
        <w:tab/>
        <w:t>13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12. 安全类问题的处理原则</w:t>
      </w:r>
      <w:r>
        <w:rPr>
          <w:rFonts w:ascii="Times New Roman" w:hAnsi="Times New Roman"/>
          <w:sz w:val="22"/>
        </w:rPr>
        <w:tab/>
        <w:t>14</w:t>
      </w:r>
    </w:p>
    <w:p>
      <w:pPr>
        <w:tabs>
          <w:tab w:pos="8784" w:val="right" w:leader="dot"/>
        </w:tabs>
        <w:spacing w:before="40" w:after="120"/>
        <w:ind w:left="216" w:right="216"/>
      </w:pPr>
      <w:r>
        <w:rPr>
          <w:rFonts w:ascii="宋体" w:hAnsi="宋体" w:eastAsia="宋体"/>
          <w:sz w:val="22"/>
        </w:rPr>
        <w:t>13. 常见使用建议</w:t>
      </w:r>
      <w:r>
        <w:rPr>
          <w:rFonts w:ascii="Times New Roman" w:hAnsi="Times New Roman"/>
          <w:sz w:val="22"/>
        </w:rPr>
        <w:tab/>
        <w:t>15</w:t>
      </w:r>
    </w:p>
    <w:p>
      <w:r>
        <w:br w:type="page"/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1. 访问系统并登录</w:t>
      </w:r>
    </w:p>
    <w:p>
      <w:pPr>
        <w:pStyle w:val="ListNumber"/>
      </w:pPr>
      <w:r>
        <w:t>在浏览器打开系统地址：</w:t>
      </w:r>
    </w:p>
    <w:p>
      <w:pPr>
        <w:spacing w:after="80"/>
      </w:pPr>
      <w:r>
        <w:t xml:space="preserve">   ```text</w:t>
      </w:r>
    </w:p>
    <w:p>
      <w:pPr>
        <w:spacing w:after="80"/>
      </w:pPr>
      <w:r>
        <w:t xml:space="preserve">   http://服务器IP:5002</w:t>
      </w:r>
    </w:p>
    <w:p>
      <w:pPr>
        <w:spacing w:after="80"/>
      </w:pPr>
      <w:r>
        <w:t xml:space="preserve">   ```</w:t>
      </w:r>
    </w:p>
    <w:p>
      <w:pPr>
        <w:pStyle w:val="ListNumber"/>
      </w:pPr>
      <w:r>
        <w:t>输入分配的账号和密码。通常账号为工号，初始密码也为工号。</w:t>
      </w:r>
    </w:p>
    <w:p>
      <w:pPr>
        <w:pStyle w:val="ListNumber"/>
      </w:pPr>
      <w:r>
        <w:t>点击“登录”进入系统。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步骤1：访问系统并登录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2. 熟悉首页布局</w:t>
      </w:r>
    </w:p>
    <w:p>
      <w:pPr>
        <w:spacing w:after="80"/>
      </w:pPr>
      <w:r>
        <w:t>登录后首页主要分为四个区域：</w:t>
      </w:r>
    </w:p>
    <w:p>
      <w:pPr>
        <w:pStyle w:val="ListNumber"/>
      </w:pPr>
      <w:r>
        <w:t>顶部栏：显示系统名称、当前用户、“修改密码”和“退出”。</w:t>
      </w:r>
    </w:p>
    <w:p>
      <w:pPr>
        <w:pStyle w:val="ListNumber"/>
      </w:pPr>
      <w:r>
        <w:t>对话区：查看用户提问和 AI 回复。</w:t>
      </w:r>
    </w:p>
    <w:p>
      <w:pPr>
        <w:pStyle w:val="ListNumber"/>
      </w:pPr>
      <w:r>
        <w:t>输入区：输入问题、发送问题、清空对话、打开知识图谱、切换流式响应。</w:t>
      </w:r>
    </w:p>
    <w:p>
      <w:pPr>
        <w:pStyle w:val="ListNumber"/>
      </w:pPr>
      <w:r>
        <w:t>关键信息提取器：从当前对话中提取故障、设备、时间、位置和运维信息。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-hom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步骤2：首页布局说明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3. 发送第一个问题</w:t>
      </w:r>
    </w:p>
    <w:p>
      <w:pPr>
        <w:pStyle w:val="ListNumber"/>
      </w:pPr>
      <w:r>
        <w:t>在底部输入框输入问题。</w:t>
      </w:r>
    </w:p>
    <w:p>
      <w:pPr>
        <w:pStyle w:val="ListNumber"/>
      </w:pPr>
      <w:r>
        <w:t>确认问题内容完整。</w:t>
      </w:r>
    </w:p>
    <w:p>
      <w:pPr>
        <w:pStyle w:val="ListNumber"/>
      </w:pPr>
      <w:r>
        <w:t>点击“发送”，或按回车键发送。</w:t>
      </w:r>
    </w:p>
    <w:p>
      <w:pPr>
        <w:spacing w:after="80"/>
      </w:pPr>
      <w:r>
        <w:t>示例：</w:t>
      </w:r>
    </w:p>
    <w:p>
      <w:pPr>
        <w:pStyle w:val="ManualCodeBlock"/>
        <w:spacing w:before="80" w:after="120"/>
        <w:ind w:left="259" w:right="259"/>
        <w:shd w:fill="F2F2F2"/>
      </w:pPr>
      <w:r>
        <w:t>故障码60001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-send-qu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步骤3：输入问题并发送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4. 按故障码查询</w:t>
      </w:r>
    </w:p>
    <w:p>
      <w:pPr>
        <w:spacing w:after="80"/>
      </w:pPr>
      <w:r>
        <w:t>如果现场有 HMI/SCADA 原始报码，优先直接输入完整报码。</w:t>
      </w:r>
    </w:p>
    <w:p>
      <w:pPr>
        <w:spacing w:after="80"/>
      </w:pPr>
      <w:r>
        <w:t>示例：</w:t>
      </w:r>
    </w:p>
    <w:p>
      <w:pPr>
        <w:pStyle w:val="ManualCodeBlock"/>
        <w:spacing w:before="80" w:after="120"/>
        <w:ind w:left="259" w:right="259"/>
        <w:shd w:fill="F2F2F2"/>
      </w:pPr>
      <w:r>
        <w:t>故障码为60001</w:t>
        <w:br/>
        <w:t>报码303804怎么处理</w:t>
      </w:r>
    </w:p>
    <w:p>
      <w:pPr>
        <w:spacing w:after="80"/>
      </w:pPr>
      <w:r>
        <w:t>系统会优先检索故障码、报警、停机、处理步骤等资料，并在回答中展示厂家、机型、故障名称、处理方向和来源文件等信息。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-fault-code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步骤4：查看故障码查询结果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5. 按提示补充厂家、机型或风场</w:t>
      </w:r>
    </w:p>
    <w:p>
      <w:pPr>
        <w:spacing w:after="80"/>
      </w:pPr>
      <w:r>
        <w:t>如果同一个报码在多个厂家或机型里都有，系统会提示补充条件。此时不要重新开新问题，直接在当前对话中继续补充即可。</w:t>
      </w:r>
    </w:p>
    <w:p>
      <w:pPr>
        <w:spacing w:after="80"/>
      </w:pPr>
      <w:r>
        <w:t>可补充的信息包括：</w:t>
      </w:r>
    </w:p>
    <w:p>
      <w:pPr>
        <w:pStyle w:val="ListBullet"/>
      </w:pPr>
      <w:r>
        <w:t>厂家</w:t>
      </w:r>
    </w:p>
    <w:p>
      <w:pPr>
        <w:pStyle w:val="ListBullet"/>
      </w:pPr>
      <w:r>
        <w:t>机型</w:t>
      </w:r>
    </w:p>
    <w:p>
      <w:pPr>
        <w:pStyle w:val="ListBullet"/>
      </w:pPr>
      <w:r>
        <w:t>风场</w:t>
      </w:r>
    </w:p>
    <w:p>
      <w:pPr>
        <w:pStyle w:val="ListBullet"/>
      </w:pPr>
      <w:r>
        <w:t>具体型号</w:t>
      </w:r>
    </w:p>
    <w:p>
      <w:pPr>
        <w:pStyle w:val="ListBullet"/>
      </w:pPr>
      <w:r>
        <w:t>HMI/SCADA 原始告警全称</w:t>
      </w:r>
    </w:p>
    <w:p>
      <w:pPr>
        <w:spacing w:after="80"/>
      </w:pPr>
      <w:r>
        <w:t>示例：</w:t>
      </w:r>
    </w:p>
    <w:p>
      <w:pPr>
        <w:pStyle w:val="ManualCodeBlock"/>
        <w:spacing w:before="80" w:after="120"/>
        <w:ind w:left="259" w:right="259"/>
        <w:shd w:fill="F2F2F2"/>
      </w:pPr>
      <w:r>
        <w:t>厂家华锐，机型SL1500-ABB</w:t>
        <w:br/>
        <w:t>风场八面，机型CWT系列</w:t>
        <w:br/>
        <w:t>具体型号CWT4200-D175</w:t>
      </w:r>
    </w:p>
    <w:p>
      <w:pPr>
        <w:spacing w:after="80"/>
      </w:pPr>
      <w:r>
        <w:t>补充后系统会按这些条件收敛结果。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-supplement-cond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步骤5：补充厂家、机型或风场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6. 按现象模糊查询</w:t>
      </w:r>
    </w:p>
    <w:p>
      <w:pPr>
        <w:spacing w:after="80"/>
      </w:pPr>
      <w:r>
        <w:t>没有报码时，可以描述部件和现象。系统会先给少量高相关候选，不会一次展开大量故障码。</w:t>
      </w:r>
    </w:p>
    <w:p>
      <w:pPr>
        <w:spacing w:after="80"/>
      </w:pPr>
      <w:r>
        <w:t>示例：</w:t>
      </w:r>
    </w:p>
    <w:p>
      <w:pPr>
        <w:pStyle w:val="ManualCodeBlock"/>
        <w:spacing w:before="80" w:after="120"/>
        <w:ind w:left="259" w:right="259"/>
        <w:shd w:fill="F2F2F2"/>
      </w:pPr>
      <w:r>
        <w:t>变频器散热片限功率</w:t>
        <w:br/>
        <w:t>发电机底部振动传感器触发</w:t>
        <w:br/>
        <w:t>叶轮转速突变或超过限制值</w:t>
        <w:br/>
        <w:t>齿轮箱油压低停机</w:t>
      </w:r>
    </w:p>
    <w:p>
      <w:pPr>
        <w:spacing w:after="80"/>
      </w:pPr>
      <w:r>
        <w:t>如果结果太多，继续补充厂家、机型、风场或 HMI/SCADA 原始报码。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-fuzzy-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步骤6：按现象进行模糊查询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7. 提问知识类问题</w:t>
      </w:r>
    </w:p>
    <w:p>
      <w:pPr>
        <w:spacing w:after="80"/>
      </w:pPr>
      <w:r>
        <w:t>如果只是问原理、影响、危害、通用原因，不需要先补充厂家和机型，系统会直接用大模型回答。</w:t>
      </w:r>
    </w:p>
    <w:p>
      <w:pPr>
        <w:spacing w:after="80"/>
      </w:pPr>
      <w:r>
        <w:t>示例：</w:t>
      </w:r>
    </w:p>
    <w:p>
      <w:pPr>
        <w:pStyle w:val="ManualCodeBlock"/>
        <w:spacing w:before="80" w:after="120"/>
        <w:ind w:left="259" w:right="259"/>
        <w:shd w:fill="F2F2F2"/>
      </w:pPr>
      <w:r>
        <w:t>叶片结冰会引发什么故障</w:t>
        <w:br/>
        <w:t>变流器为什么会报过压</w:t>
        <w:br/>
        <w:t>液压站压力上不来一般有哪些方向</w:t>
      </w:r>
    </w:p>
    <w:p>
      <w:pPr>
        <w:spacing w:after="80"/>
      </w:pPr>
      <w:r>
        <w:t>注意：这类回答是通用运维知识，不等同于某个厂家专用故障码结论。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-knowledge-ques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步骤7：提问知识类问题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8. 查看回答中的关键字段</w:t>
      </w:r>
    </w:p>
    <w:p>
      <w:pPr>
        <w:spacing w:after="80"/>
      </w:pPr>
      <w:r>
        <w:t>回答中常见字段含义如下：</w:t>
      </w:r>
    </w:p>
    <w:p>
      <w:pPr>
        <w:pStyle w:val="ListBullet"/>
      </w:pPr>
      <w:r>
        <w:t>厂家：资料对应的设备厂家。</w:t>
      </w:r>
    </w:p>
    <w:p>
      <w:pPr>
        <w:pStyle w:val="ListBullet"/>
      </w:pPr>
      <w:r>
        <w:t>机型：资料对应的系列机型。</w:t>
      </w:r>
    </w:p>
    <w:p>
      <w:pPr>
        <w:pStyle w:val="ListBullet"/>
      </w:pPr>
      <w:r>
        <w:t>具体型号：场站映射表中的具体型号。</w:t>
      </w:r>
    </w:p>
    <w:p>
      <w:pPr>
        <w:pStyle w:val="ListBullet"/>
      </w:pPr>
      <w:r>
        <w:t>风场：当前资料或映射覆盖的风场。</w:t>
      </w:r>
    </w:p>
    <w:p>
      <w:pPr>
        <w:pStyle w:val="ListBullet"/>
      </w:pPr>
      <w:r>
        <w:t>风机编号：场站-型号映射表中维护的对应编号。</w:t>
      </w:r>
    </w:p>
    <w:p>
      <w:pPr>
        <w:pStyle w:val="ListBullet"/>
      </w:pPr>
      <w:r>
        <w:t>来源：系统命中的本地资料文件。</w:t>
      </w:r>
    </w:p>
    <w:p>
      <w:pPr>
        <w:spacing w:after="80"/>
      </w:pPr>
      <w:r>
        <w:t>查看结果时，重点核对厂家、机型、风场、来源是否与现场一致。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-read-result-fiel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步骤8：核对回答中的关键字段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9. 下载对话记录</w:t>
      </w:r>
    </w:p>
    <w:p>
      <w:pPr>
        <w:spacing w:after="80"/>
      </w:pPr>
      <w:r>
        <w:t>页面右上角有“下载对话记录”按钮，可导出当前对话，适合用于班组交接、故障复盘或工单附件。</w:t>
      </w:r>
    </w:p>
    <w:p>
      <w:pPr>
        <w:spacing w:after="80"/>
      </w:pPr>
      <w:r>
        <w:t>操作步骤：</w:t>
      </w:r>
    </w:p>
    <w:p>
      <w:pPr>
        <w:pStyle w:val="ListNumber"/>
      </w:pPr>
      <w:r>
        <w:t>至少完成一轮完整问答。</w:t>
      </w:r>
    </w:p>
    <w:p>
      <w:pPr>
        <w:pStyle w:val="ListNumber"/>
      </w:pPr>
      <w:r>
        <w:t>点击右上角“下载对话记录”。</w:t>
      </w:r>
    </w:p>
    <w:p>
      <w:pPr>
        <w:pStyle w:val="ListNumber"/>
      </w:pPr>
      <w:r>
        <w:t>浏览器会下载 Markdown 文件。</w:t>
      </w:r>
    </w:p>
    <w:p>
      <w:pPr>
        <w:pStyle w:val="ListNumber"/>
      </w:pPr>
      <w:r>
        <w:t>下载完成后，可将文件作为交接、复盘或工单附件保存。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9-download-reco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步骤9：下载对话记录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10. 使用关键信息提取器</w:t>
      </w:r>
    </w:p>
    <w:p>
      <w:pPr>
        <w:spacing w:after="80"/>
      </w:pPr>
      <w:r>
        <w:t>右侧“关键信息提取器”可从当前对话中整理：</w:t>
      </w:r>
    </w:p>
    <w:p>
      <w:pPr>
        <w:pStyle w:val="ListBullet"/>
      </w:pPr>
      <w:r>
        <w:t>故障信息</w:t>
      </w:r>
    </w:p>
    <w:p>
      <w:pPr>
        <w:pStyle w:val="ListBullet"/>
      </w:pPr>
      <w:r>
        <w:t>运维信息</w:t>
      </w:r>
    </w:p>
    <w:p>
      <w:pPr>
        <w:pStyle w:val="ListBullet"/>
      </w:pPr>
      <w:r>
        <w:t>设备信息</w:t>
      </w:r>
    </w:p>
    <w:p>
      <w:pPr>
        <w:pStyle w:val="ListBullet"/>
      </w:pPr>
      <w:r>
        <w:t>时间信息</w:t>
      </w:r>
    </w:p>
    <w:p>
      <w:pPr>
        <w:pStyle w:val="ListBullet"/>
      </w:pPr>
      <w:r>
        <w:t>位置信息</w:t>
      </w:r>
    </w:p>
    <w:p>
      <w:pPr>
        <w:spacing w:after="80"/>
      </w:pPr>
      <w:r>
        <w:t>操作步骤：</w:t>
      </w:r>
    </w:p>
    <w:p>
      <w:pPr>
        <w:pStyle w:val="ListNumber"/>
      </w:pPr>
      <w:r>
        <w:t>完成相关对话。</w:t>
      </w:r>
    </w:p>
    <w:p>
      <w:pPr>
        <w:pStyle w:val="ListNumber"/>
      </w:pPr>
      <w:r>
        <w:t>点击右侧“提取信息”。</w:t>
      </w:r>
    </w:p>
    <w:p>
      <w:pPr>
        <w:pStyle w:val="ListNumber"/>
      </w:pPr>
      <w:r>
        <w:t>检查提取结果是否完整。</w:t>
      </w:r>
    </w:p>
    <w:p>
      <w:pPr>
        <w:pStyle w:val="ListNumber"/>
      </w:pPr>
      <w:r>
        <w:t>点击“导出信息”生成 Markdown 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-key-info-extrac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步骤10：提取并导出关键信息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11. 修改密码</w:t>
      </w:r>
    </w:p>
    <w:p>
      <w:pPr>
        <w:spacing w:after="80"/>
      </w:pPr>
      <w:r>
        <w:t>首次登录后建议修改初始密码。</w:t>
      </w:r>
    </w:p>
    <w:p>
      <w:pPr>
        <w:spacing w:after="80"/>
      </w:pPr>
      <w:r>
        <w:t>操作步骤：</w:t>
      </w:r>
    </w:p>
    <w:p>
      <w:pPr>
        <w:pStyle w:val="ListNumber"/>
      </w:pPr>
      <w:r>
        <w:t>点击页面右上角“修改密码”。</w:t>
      </w:r>
    </w:p>
    <w:p>
      <w:pPr>
        <w:pStyle w:val="ListNumber"/>
      </w:pPr>
      <w:r>
        <w:t>输入当前密码。</w:t>
      </w:r>
    </w:p>
    <w:p>
      <w:pPr>
        <w:pStyle w:val="ListNumber"/>
      </w:pPr>
      <w:r>
        <w:t>输入新密码。</w:t>
      </w:r>
    </w:p>
    <w:p>
      <w:pPr>
        <w:pStyle w:val="ListNumber"/>
      </w:pPr>
      <w:r>
        <w:t>再次输入新密码确认。</w:t>
      </w:r>
    </w:p>
    <w:p>
      <w:pPr>
        <w:pStyle w:val="ListNumber"/>
      </w:pPr>
      <w:r>
        <w:t>提交后使用新密码重新登录。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-change-passw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步骤11：修改密码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12. 安全类问题的处理原则</w:t>
      </w:r>
    </w:p>
    <w:p>
      <w:pPr>
        <w:spacing w:after="80"/>
      </w:pPr>
      <w:r>
        <w:t>涉及以下情况时，先按现场安全规程处理，不要依赖智能助手反复尝试复位：</w:t>
      </w:r>
    </w:p>
    <w:p>
      <w:pPr>
        <w:pStyle w:val="ListBullet"/>
      </w:pPr>
      <w:r>
        <w:t>安全链动作</w:t>
      </w:r>
    </w:p>
    <w:p>
      <w:pPr>
        <w:pStyle w:val="ListBullet"/>
      </w:pPr>
      <w:r>
        <w:t>超速</w:t>
      </w:r>
    </w:p>
    <w:p>
      <w:pPr>
        <w:pStyle w:val="ListBullet"/>
      </w:pPr>
      <w:r>
        <w:t>严重振动</w:t>
      </w:r>
    </w:p>
    <w:p>
      <w:pPr>
        <w:pStyle w:val="ListBullet"/>
      </w:pPr>
      <w:r>
        <w:t>冒烟或异味</w:t>
      </w:r>
    </w:p>
    <w:p>
      <w:pPr>
        <w:pStyle w:val="ListBullet"/>
      </w:pPr>
      <w:r>
        <w:t>过温</w:t>
      </w:r>
    </w:p>
    <w:p>
      <w:pPr>
        <w:pStyle w:val="ListBullet"/>
      </w:pPr>
      <w:r>
        <w:t>明显机械、电气异常</w:t>
      </w:r>
    </w:p>
    <w:p>
      <w:pPr>
        <w:spacing w:after="80"/>
      </w:pPr>
      <w:r>
        <w:t>智能助手可以帮助查询资料和整理处置方向，但现场风险控制优先级最高。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2-safety-no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步骤12：安全类问题优先执行现场规程</w:t>
      </w:r>
    </w:p>
    <w:p>
      <w:pPr>
        <w:pStyle w:val="Heading1"/>
        <w:spacing w:before="280" w:after="120"/>
        <w:pBdr>
          <w:bottom w:val="single" w:sz="4" w:space="1" w:color="D9EAF7"/>
        </w:pBdr>
      </w:pPr>
      <w:r>
        <w:t>13. 常见使用建议</w:t>
      </w:r>
    </w:p>
    <w:p>
      <w:pPr>
        <w:pStyle w:val="ListBullet"/>
      </w:pPr>
      <w:r>
        <w:t>有报码时，先输入完整报码，不要只输入一部分。</w:t>
      </w:r>
    </w:p>
    <w:p>
      <w:pPr>
        <w:pStyle w:val="ListBullet"/>
      </w:pPr>
      <w:r>
        <w:t>没有报码时，尽量描述部件和现象，例如“变频器散热片限功率”。</w:t>
      </w:r>
    </w:p>
    <w:p>
      <w:pPr>
        <w:pStyle w:val="ListBullet"/>
      </w:pPr>
      <w:r>
        <w:t>如果系统提示补充条件，优先补厂家、机型、风场、具体型号。</w:t>
      </w:r>
    </w:p>
    <w:p>
      <w:pPr>
        <w:pStyle w:val="ListBullet"/>
      </w:pPr>
      <w:r>
        <w:t>如果结果和现场不一致，继续补充原始告警全称、伴随报警和趋势量。</w:t>
      </w:r>
    </w:p>
    <w:p>
      <w:pPr>
        <w:pStyle w:val="ListBullet"/>
      </w:pPr>
      <w:r>
        <w:t>下载对话记录和导出关键信息前，先检查当前对话是否包含完整上下文。</w:t>
      </w:r>
    </w:p>
    <w:p>
      <w:pPr>
        <w:pStyle w:val="ListBullet"/>
      </w:pPr>
      <w:r>
        <w:t>涉及安全风险时，先执行现场规程，再使用系统辅助查询。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Block">
    <w:name w:val="Manual Code Block"/>
    <w:rPr>
      <w:rFonts w:ascii="Menlo" w:hAnsi="Menlo" w:eastAsia="等线"/>
      <w:sz w:val="18"/>
    </w:rPr>
  </w:style>
  <w:style w:type="paragraph" w:customStyle="1" w:styleId="ManualQuote">
    <w:name w:val="Manual Quote"/>
    <w:rPr>
      <w:rFonts w:ascii="宋体" w:hAnsi="宋体" w:eastAsia="宋体"/>
      <w:i/>
      <w:color w:val="58585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华能吉林公司智能助手用户使用手册</dc:title>
  <dc:subject>用户使用手册</dc:subject>
  <dc:creator>Windrise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