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sz w:val="22"/>
          <w:szCs w:val="22"/>
        </w:rPr>
        <w:t xml:space="preserve"/>
      </w:r>
    </w:p>
    <w:p>
      <w:pPr>
        <w:spacing w:after="80" w:before="0"/>
        <w:jc w:val="center"/>
      </w:pPr>
      <w:r>
        <w:rPr>
          <w:rFonts w:ascii="Arial" w:cs="Arial" w:eastAsia="Arial" w:hAnsi="Arial"/>
          <w:b/>
          <w:bCs/>
          <w:color w:val="1F4E79"/>
          <w:sz w:val="52"/>
          <w:szCs w:val="52"/>
        </w:rPr>
        <w:t xml:space="preserve">PROPUESTA TÉCNICA DE MIGRACIÓN</w:t>
      </w:r>
    </w:p>
    <w:p>
      <w:pPr>
        <w:spacing w:after="80" w:before="0"/>
        <w:jc w:val="center"/>
      </w:pPr>
      <w:r>
        <w:rPr>
          <w:rFonts w:ascii="Arial" w:cs="Arial" w:eastAsia="Arial" w:hAnsi="Arial"/>
          <w:b/>
          <w:bCs/>
          <w:color w:val="2E75B6"/>
          <w:sz w:val="44"/>
          <w:szCs w:val="44"/>
        </w:rPr>
        <w:t xml:space="preserve">CMDBuild → NetBox</w:t>
      </w:r>
    </w:p>
    <w:p>
      <w:pPr>
        <w:spacing w:after="0" w:before="200"/>
      </w:pPr>
      <w:r>
        <w:rPr>
          <w:rFonts w:ascii="Arial" w:cs="Arial" w:eastAsia="Arial" w:hAnsi="Arial"/>
          <w:sz w:val="22"/>
          <w:szCs w:val="22"/>
        </w:rPr>
        <w:t xml:space="preserve"/>
      </w:r>
    </w:p>
    <w:p>
      <w:pPr>
        <w:pBdr>
          <w:bottom w:val="single" w:color="2E75B6" w:sz="6" w:space="1"/>
        </w:pBdr>
        <w:spacing w:after="200" w:before="200"/>
      </w:pPr>
      <w:r>
        <w:rPr>
          <w:rFonts w:ascii="Arial" w:cs="Arial" w:eastAsia="Arial" w:hAnsi="Arial"/>
          <w:sz w:val="4"/>
          <w:szCs w:val="4"/>
        </w:rPr>
        <w:t xml:space="preserve"/>
      </w:r>
    </w:p>
    <w:p>
      <w:pPr>
        <w:spacing w:after="0" w:before="200"/>
      </w:pPr>
      <w:r>
        <w:rPr>
          <w:rFonts w:ascii="Arial" w:cs="Arial" w:eastAsia="Arial" w:hAnsi="Arial"/>
          <w:sz w:val="22"/>
          <w:szCs w:val="22"/>
        </w:rPr>
        <w:t xml:space="preserve"/>
      </w:r>
    </w:p>
    <w:p>
      <w:pPr>
        <w:spacing w:after="120" w:before="0"/>
        <w:jc w:val="center"/>
      </w:pPr>
      <w:r>
        <w:rPr>
          <w:rFonts w:ascii="Arial" w:cs="Arial" w:eastAsia="Arial" w:hAnsi="Arial"/>
          <w:color w:val="595959"/>
          <w:sz w:val="30"/>
          <w:szCs w:val="30"/>
        </w:rPr>
        <w:t xml:space="preserve">Junta de Andalucía — Sandetel</w:t>
      </w:r>
    </w:p>
    <w:p>
      <w:pPr>
        <w:spacing w:after="120" w:before="0"/>
        <w:jc w:val="center"/>
      </w:pPr>
      <w:r>
        <w:rPr>
          <w:rFonts w:ascii="Arial" w:cs="Arial" w:eastAsia="Arial" w:hAnsi="Arial"/>
          <w:color w:val="595959"/>
          <w:sz w:val="26"/>
          <w:szCs w:val="26"/>
        </w:rPr>
        <w:t xml:space="preserve">Migración de inventario de Servicios TI y Aplicaciones</w:t>
      </w:r>
    </w:p>
    <w:p>
      <w:pPr>
        <w:spacing w:after="0" w:before="600"/>
      </w:pPr>
      <w:r>
        <w:rPr>
          <w:rFonts w:ascii="Arial" w:cs="Arial" w:eastAsia="Arial" w:hAnsi="Arial"/>
          <w:sz w:val="22"/>
          <w:szCs w:val="22"/>
        </w:rP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Versión del documento:</w:t>
            </w:r>
          </w:p>
        </w:tc>
        <w:tc>
          <w:tcPr>
            <w:tcW w:type="dxa" w:w="25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1.1</w:t>
            </w:r>
          </w:p>
        </w:tc>
      </w:tr>
      <w:tr>
        <w:tc>
          <w:tcPr>
            <w:tcW w:type="dxa" w:w="25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Fecha:</w:t>
            </w:r>
          </w:p>
        </w:tc>
        <w:tc>
          <w:tcPr>
            <w:tcW w:type="dxa" w:w="25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19 de mayo de 2026</w:t>
            </w:r>
          </w:p>
        </w:tc>
      </w:tr>
      <w:tr>
        <w:tc>
          <w:tcPr>
            <w:tcW w:type="dxa" w:w="25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Elaborado por:</w:t>
            </w:r>
          </w:p>
        </w:tc>
        <w:tc>
          <w:tcPr>
            <w:tcW w:type="dxa" w:w="25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Equipo de Infraestructura TI</w:t>
            </w:r>
          </w:p>
        </w:tc>
      </w:tr>
      <w:tr>
        <w:tc>
          <w:tcPr>
            <w:tcW w:type="dxa" w:w="25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Revisado por:</w:t>
            </w:r>
          </w:p>
        </w:tc>
        <w:tc>
          <w:tcPr>
            <w:tcW w:type="dxa" w:w="25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Responsable Técnico del Proyecto</w:t>
            </w:r>
          </w:p>
        </w:tc>
      </w:tr>
      <w:tr>
        <w:tc>
          <w:tcPr>
            <w:tcW w:type="dxa" w:w="25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Clasificación:</w:t>
            </w:r>
          </w:p>
        </w:tc>
        <w:tc>
          <w:tcPr>
            <w:tcW w:type="dxa" w:w="25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Uso interno</w:t>
            </w:r>
          </w:p>
        </w:tc>
      </w:tr>
    </w:tbl>
    <w:p>
      <w:r>
        <w:br w:type="page"/>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spacing w:after="160" w:before="400"/>
      </w:pPr>
      <w:r>
        <w:rPr>
          <w:rFonts w:ascii="Arial" w:cs="Arial" w:eastAsia="Arial" w:hAnsi="Arial"/>
          <w:b/>
          <w:bCs/>
          <w:color w:val="1F4E79"/>
          <w:sz w:val="32"/>
          <w:szCs w:val="32"/>
        </w:rPr>
        <w:t xml:space="preserve">Control de Versiones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026"/>
        <w:gridCol w:w="2800"/>
      </w:tblGrid>
      <w:tr>
        <w:tc>
          <w:tcPr>
            <w:tcW w:type="dxa" w:w="1200"/>
            <w:tcBorders>
              <w:top w:val="single" w:color="3D85C6" w:sz="1"/>
              <w:left w:val="single" w:color="3D85C6" w:sz="1"/>
              <w:bottom w:val="single" w:color="3D85C6" w:sz="1"/>
              <w:right w:val="single" w:color="3D85C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Versión</w:t>
            </w:r>
          </w:p>
        </w:tc>
        <w:tc>
          <w:tcPr>
            <w:tcW w:type="dxa" w:w="2000"/>
            <w:tcBorders>
              <w:top w:val="single" w:color="3D85C6" w:sz="1"/>
              <w:left w:val="single" w:color="3D85C6" w:sz="1"/>
              <w:bottom w:val="single" w:color="3D85C6" w:sz="1"/>
              <w:right w:val="single" w:color="3D85C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Fecha</w:t>
            </w:r>
          </w:p>
        </w:tc>
        <w:tc>
          <w:tcPr>
            <w:tcW w:type="dxa" w:w="3026"/>
            <w:tcBorders>
              <w:top w:val="single" w:color="3D85C6" w:sz="1"/>
              <w:left w:val="single" w:color="3D85C6" w:sz="1"/>
              <w:bottom w:val="single" w:color="3D85C6" w:sz="1"/>
              <w:right w:val="single" w:color="3D85C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c>
          <w:tcPr>
            <w:tcW w:type="dxa" w:w="2800"/>
            <w:tcBorders>
              <w:top w:val="single" w:color="3D85C6" w:sz="1"/>
              <w:left w:val="single" w:color="3D85C6" w:sz="1"/>
              <w:bottom w:val="single" w:color="3D85C6" w:sz="1"/>
              <w:right w:val="single" w:color="3D85C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Autor</w:t>
            </w:r>
          </w:p>
        </w:tc>
      </w:tr>
      <w:tr>
        <w:tc>
          <w:tcPr>
            <w:tcW w:type="dxa" w:w="12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1.0</w:t>
            </w:r>
          </w:p>
        </w:tc>
        <w:tc>
          <w:tcPr>
            <w:tcW w:type="dxa" w:w="2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19/05/2026</w:t>
            </w:r>
          </w:p>
        </w:tc>
        <w:tc>
          <w:tcPr>
            <w:tcW w:type="dxa" w:w="3026"/>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Versión inicial del documento</w:t>
            </w:r>
          </w:p>
        </w:tc>
        <w:tc>
          <w:tcPr>
            <w:tcW w:type="dxa" w:w="28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Equipo de Infraestructura TI</w:t>
            </w:r>
          </w:p>
        </w:tc>
      </w:tr>
      <w:tr>
        <w:tc>
          <w:tcPr>
            <w:tcW w:type="dxa" w:w="12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1.1</w:t>
            </w:r>
          </w:p>
        </w:tc>
        <w:tc>
          <w:tcPr>
            <w:tcW w:type="dxa" w:w="20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19/05/2026</w:t>
            </w:r>
          </w:p>
        </w:tc>
        <w:tc>
          <w:tcPr>
            <w:tcW w:type="dxa" w:w="3026"/>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Incorporación de datos reales de los CSV exportados de CMDBuild (77 Aplicaciones, 99 Servicios TI). Corrección de fases y componentes.</w:t>
            </w:r>
          </w:p>
        </w:tc>
        <w:tc>
          <w:tcPr>
            <w:tcW w:type="dxa" w:w="28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Equipo de Infraestructura TI</w:t>
            </w:r>
          </w:p>
        </w:tc>
      </w:tr>
    </w:tbl>
    <w:p>
      <w:r>
        <w:br w:type="page"/>
      </w:r>
    </w:p>
    <w:p>
      <w:pPr>
        <w:pStyle w:val="Heading1"/>
        <w:spacing w:after="160" w:before="400"/>
      </w:pPr>
      <w:r>
        <w:rPr>
          <w:rFonts w:ascii="Arial" w:cs="Arial" w:eastAsia="Arial" w:hAnsi="Arial"/>
          <w:b/>
          <w:bCs/>
          <w:color w:val="1F4E79"/>
          <w:sz w:val="32"/>
          <w:szCs w:val="32"/>
        </w:rPr>
        <w:t xml:space="preserve">1. Resumen Ejecutivo</w:t>
      </w:r>
    </w:p>
    <w:p>
      <w:pPr>
        <w:spacing w:after="80" w:before="80"/>
      </w:pPr>
      <w:r>
        <w:rPr>
          <w:rFonts w:ascii="Arial" w:cs="Arial" w:eastAsia="Arial" w:hAnsi="Arial"/>
          <w:color w:val="000000"/>
          <w:sz w:val="22"/>
          <w:szCs w:val="22"/>
        </w:rPr>
        <w:t xml:space="preserve">Este documento recoge la propuesta técnica para la migración del inventario de activos TI actualmente gestionado en CMDBuild hacia NetBox, plataforma open source de gestión de infraestructura de red e inventario. La migración afecta a dos clases del entorno CMDBuild de Sandetel (Junta de Andalucía):</w:t>
      </w:r>
    </w:p>
    <w:p>
      <w:pPr>
        <w:spacing w:after="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426"/>
      </w:tblGrid>
      <w:tr>
        <w:tc>
          <w:tcPr>
            <w:tcW w:type="dxa" w:w="3600"/>
            <w:tcBorders>
              <w:top w:val="single" w:color="3D85C6" w:sz="1"/>
              <w:left w:val="single" w:color="3D85C6" w:sz="1"/>
              <w:bottom w:val="single" w:color="3D85C6" w:sz="1"/>
              <w:right w:val="single" w:color="3D85C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Clase CMDBuild</w:t>
            </w:r>
          </w:p>
        </w:tc>
        <w:tc>
          <w:tcPr>
            <w:tcW w:type="dxa" w:w="2000"/>
            <w:tcBorders>
              <w:top w:val="single" w:color="3D85C6" w:sz="1"/>
              <w:left w:val="single" w:color="3D85C6" w:sz="1"/>
              <w:bottom w:val="single" w:color="3D85C6" w:sz="1"/>
              <w:right w:val="single" w:color="3D85C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Registros</w:t>
            </w:r>
          </w:p>
        </w:tc>
        <w:tc>
          <w:tcPr>
            <w:tcW w:type="dxa" w:w="3426"/>
            <w:tcBorders>
              <w:top w:val="single" w:color="3D85C6" w:sz="1"/>
              <w:left w:val="single" w:color="3D85C6" w:sz="1"/>
              <w:bottom w:val="single" w:color="3D85C6" w:sz="1"/>
              <w:right w:val="single" w:color="3D85C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Equivalente NetBox (propuesto)</w:t>
            </w:r>
          </w:p>
        </w:tc>
      </w:tr>
      <w:tr>
        <w:tc>
          <w:tcPr>
            <w:tcW w:type="dxa" w:w="36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Aplicaciones</w:t>
            </w:r>
          </w:p>
        </w:tc>
        <w:tc>
          <w:tcPr>
            <w:tcW w:type="dxa" w:w="2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77</w:t>
            </w:r>
          </w:p>
        </w:tc>
        <w:tc>
          <w:tcPr>
            <w:tcW w:type="dxa" w:w="342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Virtual Machines + Custom Fields</w:t>
            </w:r>
          </w:p>
        </w:tc>
      </w:tr>
      <w:tr>
        <w:tc>
          <w:tcPr>
            <w:tcW w:type="dxa" w:w="36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Servicios TI</w:t>
            </w:r>
          </w:p>
        </w:tc>
        <w:tc>
          <w:tcPr>
            <w:tcW w:type="dxa" w:w="2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99</w:t>
            </w:r>
          </w:p>
        </w:tc>
        <w:tc>
          <w:tcPr>
            <w:tcW w:type="dxa" w:w="3426"/>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Virtual Machines con tag 'servicio-ti'</w:t>
            </w:r>
          </w:p>
        </w:tc>
      </w:tr>
      <w:tr>
        <w:tc>
          <w:tcPr>
            <w:tcW w:type="dxa" w:w="36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TOTAL</w:t>
            </w:r>
          </w:p>
        </w:tc>
        <w:tc>
          <w:tcPr>
            <w:tcW w:type="dxa" w:w="20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176</w:t>
            </w:r>
          </w:p>
        </w:tc>
        <w:tc>
          <w:tcPr>
            <w:tcW w:type="dxa" w:w="3426"/>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r>
    </w:tbl>
    <w:p>
      <w:pPr>
        <w:spacing w:after="0" w:before="80"/>
      </w:pPr>
      <w:r>
        <w:rPr>
          <w:rFonts w:ascii="Arial" w:cs="Arial" w:eastAsia="Arial" w:hAnsi="Arial"/>
          <w:sz w:val="22"/>
          <w:szCs w:val="22"/>
        </w:rPr>
        <w:t xml:space="preserve"/>
      </w:r>
    </w:p>
    <w:p>
      <w:pPr>
        <w:spacing w:after="80" w:before="80"/>
      </w:pPr>
      <w:r>
        <w:rPr>
          <w:rFonts w:ascii="Arial" w:cs="Arial" w:eastAsia="Arial" w:hAnsi="Arial"/>
          <w:color w:val="000000"/>
          <w:sz w:val="22"/>
          <w:szCs w:val="22"/>
        </w:rPr>
        <w:t xml:space="preserve">El proceso se articula en seis fases: preparación del entorno NetBox mediante Docker, análisis y exportación de datos desde CMDBuild, desarrollo del script de transformación, ejecución en entorno de pruebas, validación funcional y migración a producción. El enfoque elegido minimiza la interrupción operativa al no requerir acceso directo a la base de datos de origen, operando exclusivamente a través de exportaciones CSV y la API REST de NetBox.</w:t>
      </w:r>
    </w:p>
    <w:p>
      <w:pPr>
        <w:spacing w:after="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thick" w:color="2E75B6" w:sz="12"/>
              <w:bottom w:val="single" w:color="2E75B6" w:sz="4"/>
              <w:right w:val="none" w:color="FFFFFF" w:sz="0"/>
            </w:tcBorders>
            <w:shd w:fill="EBF3FB" w:val="clear"/>
            <w:tcMar>
              <w:top w:type="dxa" w:w="100"/>
              <w:left w:type="dxa" w:w="180"/>
              <w:bottom w:type="dxa" w:w="100"/>
              <w:right w:type="dxa" w:w="180"/>
            </w:tcMar>
          </w:tcPr>
          <w:p>
            <w:r>
              <w:rPr>
                <w:rFonts w:ascii="Arial" w:cs="Arial" w:eastAsia="Arial" w:hAnsi="Arial"/>
                <w:b/>
                <w:bCs/>
                <w:color w:val="1F4E79"/>
                <w:sz w:val="20"/>
                <w:szCs w:val="20"/>
              </w:rPr>
              <w:t xml:space="preserve">Alcance: </w:t>
            </w:r>
            <w:r>
              <w:rPr>
                <w:rFonts w:ascii="Arial" w:cs="Arial" w:eastAsia="Arial" w:hAnsi="Arial"/>
                <w:color w:val="595959"/>
                <w:sz w:val="20"/>
                <w:szCs w:val="20"/>
              </w:rPr>
              <w:t xml:space="preserve">Clases Aplicaciones (77 registros) y Servicios TI (99 registros) — 176 elementos en total. Las clases Instancias BBDD, Gate Sandetel y Procesos quedan fuera del alcance de esta fase.</w:t>
            </w:r>
          </w:p>
        </w:tc>
      </w:tr>
    </w:tbl>
    <w:p>
      <w:pPr>
        <w:spacing w:after="0" w:before="80"/>
      </w:pPr>
      <w:r>
        <w:rPr>
          <w:rFonts w:ascii="Arial" w:cs="Arial" w:eastAsia="Arial" w:hAnsi="Arial"/>
          <w:sz w:val="22"/>
          <w:szCs w:val="22"/>
        </w:rPr>
        <w:t xml:space="preserve"/>
      </w:r>
    </w:p>
    <w:p>
      <w:pPr>
        <w:pStyle w:val="Heading1"/>
        <w:spacing w:after="160" w:before="400"/>
      </w:pPr>
      <w:r>
        <w:rPr>
          <w:rFonts w:ascii="Arial" w:cs="Arial" w:eastAsia="Arial" w:hAnsi="Arial"/>
          <w:b/>
          <w:bCs/>
          <w:color w:val="1F4E79"/>
          <w:sz w:val="32"/>
          <w:szCs w:val="32"/>
        </w:rPr>
        <w:t xml:space="preserve">2. Contexto y Objetivos</w:t>
      </w:r>
    </w:p>
    <w:p>
      <w:pPr>
        <w:pStyle w:val="Heading2"/>
        <w:spacing w:after="120" w:before="280"/>
      </w:pPr>
      <w:r>
        <w:rPr>
          <w:rFonts w:ascii="Arial" w:cs="Arial" w:eastAsia="Arial" w:hAnsi="Arial"/>
          <w:b/>
          <w:bCs/>
          <w:color w:val="2E75B6"/>
          <w:sz w:val="26"/>
          <w:szCs w:val="26"/>
        </w:rPr>
        <w:t xml:space="preserve">2.1. Situación actual</w:t>
      </w:r>
    </w:p>
    <w:p>
      <w:pPr>
        <w:spacing w:after="80" w:before="80"/>
      </w:pPr>
      <w:r>
        <w:rPr>
          <w:rFonts w:ascii="Arial" w:cs="Arial" w:eastAsia="Arial" w:hAnsi="Arial"/>
          <w:color w:val="000000"/>
          <w:sz w:val="22"/>
          <w:szCs w:val="22"/>
        </w:rPr>
        <w:t xml:space="preserve">CMDBuild es una plataforma de gestión de configuración (CMDB) de código abierto desarrollada por Tecnoteca. Sandetel la utiliza para centralizar el inventario de activos TI, incluyendo servicios, aplicaciones, instancias de bases de datos y equipamiento de red.</w:t>
      </w:r>
    </w:p>
    <w:p>
      <w:pPr>
        <w:spacing w:after="0" w:before="80"/>
      </w:pPr>
      <w:r>
        <w:rPr>
          <w:rFonts w:ascii="Arial" w:cs="Arial" w:eastAsia="Arial" w:hAnsi="Arial"/>
          <w:sz w:val="22"/>
          <w:szCs w:val="22"/>
        </w:rPr>
        <w:t xml:space="preserve"/>
      </w:r>
    </w:p>
    <w:p>
      <w:pPr>
        <w:spacing w:after="80" w:before="80"/>
      </w:pPr>
      <w:r>
        <w:rPr>
          <w:rFonts w:ascii="Arial" w:cs="Arial" w:eastAsia="Arial" w:hAnsi="Arial"/>
          <w:color w:val="000000"/>
          <w:sz w:val="22"/>
          <w:szCs w:val="22"/>
        </w:rPr>
        <w:t xml:space="preserve">Los datos exportados de CMDBuild confirman la siguiente estructura por clase:</w:t>
      </w:r>
    </w:p>
    <w:p>
      <w:pPr>
        <w:spacing w:after="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c>
          <w:tcPr>
            <w:tcW w:type="dxa" w:w="2200"/>
            <w:tcBorders>
              <w:top w:val="single" w:color="3D85C6" w:sz="1"/>
              <w:left w:val="single" w:color="3D85C6" w:sz="1"/>
              <w:bottom w:val="single" w:color="3D85C6" w:sz="1"/>
              <w:right w:val="single" w:color="3D85C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Clase</w:t>
            </w:r>
          </w:p>
        </w:tc>
        <w:tc>
          <w:tcPr>
            <w:tcW w:type="dxa" w:w="1600"/>
            <w:tcBorders>
              <w:top w:val="single" w:color="3D85C6" w:sz="1"/>
              <w:left w:val="single" w:color="3D85C6" w:sz="1"/>
              <w:bottom w:val="single" w:color="3D85C6" w:sz="1"/>
              <w:right w:val="single" w:color="3D85C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Columnas</w:t>
            </w:r>
          </w:p>
        </w:tc>
        <w:tc>
          <w:tcPr>
            <w:tcW w:type="dxa" w:w="5226"/>
            <w:tcBorders>
              <w:top w:val="single" w:color="3D85C6" w:sz="1"/>
              <w:left w:val="single" w:color="3D85C6" w:sz="1"/>
              <w:bottom w:val="single" w:color="3D85C6" w:sz="1"/>
              <w:right w:val="single" w:color="3D85C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Campos principales identificados</w:t>
            </w:r>
          </w:p>
        </w:tc>
      </w:tr>
      <w:tr>
        <w:tc>
          <w:tcPr>
            <w:tcW w:type="dxa" w:w="22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Aplicaciones</w:t>
            </w:r>
          </w:p>
        </w:tc>
        <w:tc>
          <w:tcPr>
            <w:tcW w:type="dxa" w:w="16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14</w:t>
            </w:r>
          </w:p>
        </w:tc>
        <w:tc>
          <w:tcPr>
            <w:tcW w:type="dxa" w:w="522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Dispositivo BDI, Entorno, APP-SERVICE, Servicio, Aplicación Software, Estado, Docker, Versión, URL, IP, BBDD, Observación</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Servicios TI</w:t>
            </w:r>
          </w:p>
        </w:tc>
        <w:tc>
          <w:tcPr>
            <w:tcW w:type="dxa" w:w="16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26</w:t>
            </w:r>
          </w:p>
        </w:tc>
        <w:tc>
          <w:tcPr>
            <w:tcW w:type="dxa" w:w="5226"/>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Dispositivo (BDI), IPs (Gestión/ETH0/ETH1), Encargo, CPU, RAM, Disco, Entorno, Estado, Horario, Tipo Dispositivo, S.O., Tipo Alojamiento, Fechas Alta/Baja, Contactos</w:t>
            </w:r>
          </w:p>
        </w:tc>
      </w:tr>
    </w:tbl>
    <w:p>
      <w:pPr>
        <w:spacing w:after="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6"/>
          <w:szCs w:val="26"/>
        </w:rPr>
        <w:t xml:space="preserve">2.2. Objetivos de la migración</w:t>
      </w:r>
    </w:p>
    <w:p>
      <w:pPr>
        <w:pStyle w:val="ListParagraph"/>
        <w:numPr>
          <w:ilvl w:val="0"/>
          <w:numId w:val="2"/>
        </w:numPr>
        <w:spacing w:after="60" w:before="60"/>
      </w:pPr>
      <w:r>
        <w:rPr>
          <w:rFonts w:ascii="Arial" w:cs="Arial" w:eastAsia="Arial" w:hAnsi="Arial"/>
          <w:color w:val="000000"/>
          <w:sz w:val="22"/>
          <w:szCs w:val="22"/>
        </w:rPr>
        <w:t xml:space="preserve">Centralizar el inventario de Aplicaciones (77) y Servicios TI (99) en NetBox, plataforma con mayor interoperabilidad y ecosistema de integraciones activo.</w:t>
      </w:r>
    </w:p>
    <w:p>
      <w:pPr>
        <w:pStyle w:val="ListParagraph"/>
        <w:numPr>
          <w:ilvl w:val="0"/>
          <w:numId w:val="2"/>
        </w:numPr>
        <w:spacing w:after="60" w:before="60"/>
      </w:pPr>
      <w:r>
        <w:rPr>
          <w:rFonts w:ascii="Arial" w:cs="Arial" w:eastAsia="Arial" w:hAnsi="Arial"/>
          <w:color w:val="000000"/>
          <w:sz w:val="22"/>
          <w:szCs w:val="22"/>
        </w:rPr>
        <w:t xml:space="preserve">Preservar la integridad y completitud de todos los atributos de los 176 registros existentes, incluyendo los campos sin equivalente nativo en NetBox mediante Custom Fields.</w:t>
      </w:r>
    </w:p>
    <w:p>
      <w:pPr>
        <w:pStyle w:val="ListParagraph"/>
        <w:numPr>
          <w:ilvl w:val="0"/>
          <w:numId w:val="2"/>
        </w:numPr>
        <w:spacing w:after="60" w:before="60"/>
      </w:pPr>
      <w:r>
        <w:rPr>
          <w:rFonts w:ascii="Arial" w:cs="Arial" w:eastAsia="Arial" w:hAnsi="Arial"/>
          <w:color w:val="000000"/>
          <w:sz w:val="22"/>
          <w:szCs w:val="22"/>
        </w:rPr>
        <w:t xml:space="preserve">Establecer un proceso reproducible y documentado que sirva de base para futuras migraciones de clases adicionales (Instancias BBDD, Gate Sandetel).</w:t>
      </w:r>
    </w:p>
    <w:p>
      <w:pPr>
        <w:pStyle w:val="ListParagraph"/>
        <w:numPr>
          <w:ilvl w:val="0"/>
          <w:numId w:val="2"/>
        </w:numPr>
        <w:spacing w:after="60" w:before="60"/>
      </w:pPr>
      <w:r>
        <w:rPr>
          <w:rFonts w:ascii="Arial" w:cs="Arial" w:eastAsia="Arial" w:hAnsi="Arial"/>
          <w:color w:val="000000"/>
          <w:sz w:val="22"/>
          <w:szCs w:val="22"/>
        </w:rPr>
        <w:t xml:space="preserve">Implementar el entorno NetBox con Docker para facilitar portabilidad, mantenimiento y escalabilidad.</w:t>
      </w:r>
    </w:p>
    <w:p>
      <w:pPr>
        <w:pStyle w:val="ListParagraph"/>
        <w:numPr>
          <w:ilvl w:val="0"/>
          <w:numId w:val="2"/>
        </w:numPr>
        <w:spacing w:after="60" w:before="60"/>
      </w:pPr>
      <w:r>
        <w:rPr>
          <w:rFonts w:ascii="Arial" w:cs="Arial" w:eastAsia="Arial" w:hAnsi="Arial"/>
          <w:color w:val="000000"/>
          <w:sz w:val="22"/>
          <w:szCs w:val="22"/>
        </w:rPr>
        <w:t xml:space="preserve">Garantizar trazabilidad completa mediante logs de ejecución con estado por registro y acta de validación firmada.</w:t>
      </w:r>
    </w:p>
    <w:p>
      <w:pPr>
        <w:spacing w:after="0" w:before="80"/>
      </w:pPr>
      <w:r>
        <w:rPr>
          <w:rFonts w:ascii="Arial" w:cs="Arial" w:eastAsia="Arial" w:hAnsi="Arial"/>
          <w:sz w:val="22"/>
          <w:szCs w:val="22"/>
        </w:rPr>
        <w:t xml:space="preserve"/>
      </w:r>
    </w:p>
    <w:p>
      <w:pPr>
        <w:pStyle w:val="Heading1"/>
        <w:spacing w:after="160" w:before="400"/>
      </w:pPr>
      <w:r>
        <w:rPr>
          <w:rFonts w:ascii="Arial" w:cs="Arial" w:eastAsia="Arial" w:hAnsi="Arial"/>
          <w:b/>
          <w:bCs/>
          <w:color w:val="1F4E79"/>
          <w:sz w:val="32"/>
          <w:szCs w:val="32"/>
        </w:rPr>
        <w:t xml:space="preserve">3. Arquitectura de la Solución</w:t>
      </w:r>
    </w:p>
    <w:p>
      <w:pPr>
        <w:pStyle w:val="Heading2"/>
        <w:spacing w:after="120" w:before="280"/>
      </w:pPr>
      <w:r>
        <w:rPr>
          <w:rFonts w:ascii="Arial" w:cs="Arial" w:eastAsia="Arial" w:hAnsi="Arial"/>
          <w:b/>
          <w:bCs/>
          <w:color w:val="2E75B6"/>
          <w:sz w:val="26"/>
          <w:szCs w:val="26"/>
        </w:rPr>
        <w:t xml:space="preserve">3.1. Componentes del sistema</w:t>
      </w:r>
    </w:p>
    <w:p>
      <w:pPr>
        <w:spacing w:after="80" w:before="80"/>
      </w:pPr>
      <w:r>
        <w:rPr>
          <w:rFonts w:ascii="Arial" w:cs="Arial" w:eastAsia="Arial" w:hAnsi="Arial"/>
          <w:color w:val="000000"/>
          <w:sz w:val="22"/>
          <w:szCs w:val="22"/>
        </w:rPr>
        <w:t xml:space="preserve">La solución se compone de cuatro elementos. Los tres primeros forman el stack Docker y el cuarto es el script de migración que se ejecuta externamente contra la API de NetBox:</w:t>
      </w:r>
    </w:p>
    <w:p>
      <w:pPr>
        <w:spacing w:after="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26"/>
        <w:gridCol w:w="1200"/>
        <w:gridCol w:w="3200"/>
      </w:tblGrid>
      <w:tr>
        <w:tc>
          <w:tcPr>
            <w:tcW w:type="dxa" w:w="2000"/>
            <w:tcBorders>
              <w:top w:val="single" w:color="3D85C6" w:sz="1"/>
              <w:left w:val="single" w:color="3D85C6" w:sz="1"/>
              <w:bottom w:val="single" w:color="3D85C6" w:sz="1"/>
              <w:right w:val="single" w:color="3D85C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Componente</w:t>
            </w:r>
          </w:p>
        </w:tc>
        <w:tc>
          <w:tcPr>
            <w:tcW w:type="dxa" w:w="2626"/>
            <w:tcBorders>
              <w:top w:val="single" w:color="3D85C6" w:sz="1"/>
              <w:left w:val="single" w:color="3D85C6" w:sz="1"/>
              <w:bottom w:val="single" w:color="3D85C6" w:sz="1"/>
              <w:right w:val="single" w:color="3D85C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Tecnología</w:t>
            </w:r>
          </w:p>
        </w:tc>
        <w:tc>
          <w:tcPr>
            <w:tcW w:type="dxa" w:w="1200"/>
            <w:tcBorders>
              <w:top w:val="single" w:color="3D85C6" w:sz="1"/>
              <w:left w:val="single" w:color="3D85C6" w:sz="1"/>
              <w:bottom w:val="single" w:color="3D85C6" w:sz="1"/>
              <w:right w:val="single" w:color="3D85C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Tipo</w:t>
            </w:r>
          </w:p>
        </w:tc>
        <w:tc>
          <w:tcPr>
            <w:tcW w:type="dxa" w:w="3200"/>
            <w:tcBorders>
              <w:top w:val="single" w:color="3D85C6" w:sz="1"/>
              <w:left w:val="single" w:color="3D85C6" w:sz="1"/>
              <w:bottom w:val="single" w:color="3D85C6" w:sz="1"/>
              <w:right w:val="single" w:color="3D85C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Función</w:t>
            </w:r>
          </w:p>
        </w:tc>
      </w:tr>
      <w:tr>
        <w:tc>
          <w:tcPr>
            <w:tcW w:type="dxa" w:w="2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NetBox App</w:t>
            </w:r>
          </w:p>
        </w:tc>
        <w:tc>
          <w:tcPr>
            <w:tcW w:type="dxa" w:w="262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netboxcommunity/netbox:v4.1</w:t>
            </w:r>
          </w:p>
        </w:tc>
        <w:tc>
          <w:tcPr>
            <w:tcW w:type="dxa" w:w="12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Docker</w:t>
            </w:r>
          </w:p>
        </w:tc>
        <w:tc>
          <w:tcPr>
            <w:tcW w:type="dxa" w:w="32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Aplicación principal. Expone API REST en puerto 8000.</w:t>
            </w:r>
          </w:p>
        </w:tc>
      </w:tr>
      <w:tr>
        <w:tc>
          <w:tcPr>
            <w:tcW w:type="dxa" w:w="2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Base de datos</w:t>
            </w:r>
          </w:p>
        </w:tc>
        <w:tc>
          <w:tcPr>
            <w:tcW w:type="dxa" w:w="2626"/>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PostgreSQL 15</w:t>
            </w:r>
          </w:p>
        </w:tc>
        <w:tc>
          <w:tcPr>
            <w:tcW w:type="dxa" w:w="12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Docker</w:t>
            </w:r>
          </w:p>
        </w:tc>
        <w:tc>
          <w:tcPr>
            <w:tcW w:type="dxa" w:w="32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Almacenamiento persistente de todos los objetos NetBox.</w:t>
            </w:r>
          </w:p>
        </w:tc>
      </w:tr>
      <w:tr>
        <w:tc>
          <w:tcPr>
            <w:tcW w:type="dxa" w:w="2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Caché</w:t>
            </w:r>
          </w:p>
        </w:tc>
        <w:tc>
          <w:tcPr>
            <w:tcW w:type="dxa" w:w="262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Redis 7</w:t>
            </w:r>
          </w:p>
        </w:tc>
        <w:tc>
          <w:tcPr>
            <w:tcW w:type="dxa" w:w="12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Docker</w:t>
            </w:r>
          </w:p>
        </w:tc>
        <w:tc>
          <w:tcPr>
            <w:tcW w:type="dxa" w:w="32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Caché de sesión y colas de tareas asíncronas.</w:t>
            </w:r>
          </w:p>
        </w:tc>
      </w:tr>
      <w:tr>
        <w:tc>
          <w:tcPr>
            <w:tcW w:type="dxa" w:w="2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Script de migración</w:t>
            </w:r>
          </w:p>
        </w:tc>
        <w:tc>
          <w:tcPr>
            <w:tcW w:type="dxa" w:w="2626"/>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Python 3.10+</w:t>
            </w:r>
          </w:p>
        </w:tc>
        <w:tc>
          <w:tcPr>
            <w:tcW w:type="dxa" w:w="12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Externo</w:t>
            </w:r>
          </w:p>
        </w:tc>
        <w:tc>
          <w:tcPr>
            <w:tcW w:type="dxa" w:w="32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Lee los CSV, transforma los datos e importa vía API REST de NetBox.</w:t>
            </w:r>
          </w:p>
        </w:tc>
      </w:tr>
    </w:tbl>
    <w:p>
      <w:pPr>
        <w:spacing w:after="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thick" w:color="2E75B6" w:sz="12"/>
              <w:bottom w:val="single" w:color="2E75B6" w:sz="4"/>
              <w:right w:val="none" w:color="FFFFFF" w:sz="0"/>
            </w:tcBorders>
            <w:shd w:fill="EBF3FB" w:val="clear"/>
            <w:tcMar>
              <w:top w:type="dxa" w:w="100"/>
              <w:left w:type="dxa" w:w="180"/>
              <w:bottom w:type="dxa" w:w="100"/>
              <w:right w:type="dxa" w:w="180"/>
            </w:tcMar>
          </w:tcPr>
          <w:p>
            <w:r>
              <w:rPr>
                <w:rFonts w:ascii="Arial" w:cs="Arial" w:eastAsia="Arial" w:hAnsi="Arial"/>
                <w:b/>
                <w:bCs/>
                <w:color w:val="1F4E79"/>
                <w:sz w:val="20"/>
                <w:szCs w:val="20"/>
              </w:rPr>
              <w:t xml:space="preserve">Nota de versiones: </w:t>
            </w:r>
            <w:r>
              <w:rPr>
                <w:rFonts w:ascii="Arial" w:cs="Arial" w:eastAsia="Arial" w:hAnsi="Arial"/>
                <w:color w:val="595959"/>
                <w:sz w:val="20"/>
                <w:szCs w:val="20"/>
              </w:rPr>
              <w:t xml:space="preserve">Se fija la imagen Docker a la versión v4.1 de NetBox (en lugar de ':latest') para garantizar reproducibilidad y evitar cambios de API no controlados entre ejecuciones.</w:t>
            </w:r>
          </w:p>
        </w:tc>
      </w:tr>
    </w:tbl>
    <w:p>
      <w:pPr>
        <w:spacing w:after="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6"/>
          <w:szCs w:val="26"/>
        </w:rPr>
        <w:t xml:space="preserve">3.2. Mapeo de modelos de datos</w:t>
      </w:r>
    </w:p>
    <w:p>
      <w:pPr>
        <w:spacing w:after="80" w:before="80"/>
      </w:pPr>
      <w:r>
        <w:rPr>
          <w:rFonts w:ascii="Arial" w:cs="Arial" w:eastAsia="Arial" w:hAnsi="Arial"/>
          <w:color w:val="000000"/>
          <w:sz w:val="22"/>
          <w:szCs w:val="22"/>
        </w:rPr>
        <w:t xml:space="preserve">El modelo de datos de CMDBuild y NetBox difieren en su concepción. CMDBuild es genérico y permite definir cualquier clase; NetBox está especializado en infraestructura TI con entidades predefinidas. El mapeo definitivo, basado en el análisis de los CSV exportados, es el siguiente:</w:t>
      </w:r>
    </w:p>
    <w:p>
      <w:pPr>
        <w:spacing w:after="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1F4E79"/>
          <w:sz w:val="22"/>
          <w:szCs w:val="22"/>
        </w:rPr>
        <w:t xml:space="preserve">Clase Aplicaciones (77 registros, 14 campos)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3D85C6" w:sz="1"/>
              <w:left w:val="single" w:color="3D85C6" w:sz="1"/>
              <w:bottom w:val="single" w:color="3D85C6" w:sz="1"/>
              <w:right w:val="single" w:color="3D85C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Campo CMDBuild</w:t>
            </w:r>
          </w:p>
        </w:tc>
        <w:tc>
          <w:tcPr>
            <w:tcW w:type="dxa" w:w="3000"/>
            <w:tcBorders>
              <w:top w:val="single" w:color="3D85C6" w:sz="1"/>
              <w:left w:val="single" w:color="3D85C6" w:sz="1"/>
              <w:bottom w:val="single" w:color="3D85C6" w:sz="1"/>
              <w:right w:val="single" w:color="3D85C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Campo NetBox</w:t>
            </w:r>
          </w:p>
        </w:tc>
        <w:tc>
          <w:tcPr>
            <w:tcW w:type="dxa" w:w="3026"/>
            <w:tcBorders>
              <w:top w:val="single" w:color="3D85C6" w:sz="1"/>
              <w:left w:val="single" w:color="3D85C6" w:sz="1"/>
              <w:bottom w:val="single" w:color="3D85C6" w:sz="1"/>
              <w:right w:val="single" w:color="3D85C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Observaciones</w:t>
            </w:r>
          </w:p>
        </w:tc>
      </w:tr>
      <w:tr>
        <w:tc>
          <w:tcPr>
            <w:tcW w:type="dxa" w:w="3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Dispositivo BDI</w:t>
            </w:r>
          </w:p>
        </w:tc>
        <w:tc>
          <w:tcPr>
            <w:tcW w:type="dxa" w:w="3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name (Virtual Machine)</w:t>
            </w:r>
          </w:p>
        </w:tc>
        <w:tc>
          <w:tcPr>
            <w:tcW w:type="dxa" w:w="302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Identificador principal del registro.</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ENTORNO</w:t>
            </w:r>
          </w:p>
        </w:tc>
        <w:tc>
          <w:tcPr>
            <w:tcW w:type="dxa" w:w="30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site</w:t>
            </w:r>
          </w:p>
        </w:tc>
        <w:tc>
          <w:tcPr>
            <w:tcW w:type="dxa" w:w="3026"/>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Valores: PRODUCCION, DESARROLLO, PREPRODUCCION.</w:t>
            </w:r>
          </w:p>
        </w:tc>
      </w:tr>
      <w:tr>
        <w:tc>
          <w:tcPr>
            <w:tcW w:type="dxa" w:w="3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APP-SERVICE</w:t>
            </w:r>
          </w:p>
        </w:tc>
        <w:tc>
          <w:tcPr>
            <w:tcW w:type="dxa" w:w="3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Tag</w:t>
            </w:r>
          </w:p>
        </w:tc>
        <w:tc>
          <w:tcPr>
            <w:tcW w:type="dxa" w:w="302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Valor constante 'APLICACIÓN' en este CSV.</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SERVICIO</w:t>
            </w:r>
          </w:p>
        </w:tc>
        <w:tc>
          <w:tcPr>
            <w:tcW w:type="dxa" w:w="30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Custom Field: cf_servicio</w:t>
            </w:r>
          </w:p>
        </w:tc>
        <w:tc>
          <w:tcPr>
            <w:tcW w:type="dxa" w:w="3026"/>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Descripción larga del servicio.</w:t>
            </w:r>
          </w:p>
        </w:tc>
      </w:tr>
      <w:tr>
        <w:tc>
          <w:tcPr>
            <w:tcW w:type="dxa" w:w="3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APLICACION SOFTWARE</w:t>
            </w:r>
          </w:p>
        </w:tc>
        <w:tc>
          <w:tcPr>
            <w:tcW w:type="dxa" w:w="3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Custom Field: cf_aplicacion_software</w:t>
            </w:r>
          </w:p>
        </w:tc>
        <w:tc>
          <w:tcPr>
            <w:tcW w:type="dxa" w:w="302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Nombre del software (Nextcloud, Moodle, etc.).</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ESTADO APLICACIÓN</w:t>
            </w:r>
          </w:p>
        </w:tc>
        <w:tc>
          <w:tcPr>
            <w:tcW w:type="dxa" w:w="30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status</w:t>
            </w:r>
          </w:p>
        </w:tc>
        <w:tc>
          <w:tcPr>
            <w:tcW w:type="dxa" w:w="3026"/>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ALTA → active; BAJA → decommissioning; DESARROLLO → staged.</w:t>
            </w:r>
          </w:p>
        </w:tc>
      </w:tr>
      <w:tr>
        <w:tc>
          <w:tcPr>
            <w:tcW w:type="dxa" w:w="3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DOCKER</w:t>
            </w:r>
          </w:p>
        </w:tc>
        <w:tc>
          <w:tcPr>
            <w:tcW w:type="dxa" w:w="3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Custom Field: cf_docker</w:t>
            </w:r>
          </w:p>
        </w:tc>
        <w:tc>
          <w:tcPr>
            <w:tcW w:type="dxa" w:w="302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Booleano true/false.</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VERSION</w:t>
            </w:r>
          </w:p>
        </w:tc>
        <w:tc>
          <w:tcPr>
            <w:tcW w:type="dxa" w:w="30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Custom Field: cf_version</w:t>
            </w:r>
          </w:p>
        </w:tc>
        <w:tc>
          <w:tcPr>
            <w:tcW w:type="dxa" w:w="3026"/>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Versión del software instalado.</w:t>
            </w:r>
          </w:p>
        </w:tc>
      </w:tr>
      <w:tr>
        <w:tc>
          <w:tcPr>
            <w:tcW w:type="dxa" w:w="3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URL</w:t>
            </w:r>
          </w:p>
        </w:tc>
        <w:tc>
          <w:tcPr>
            <w:tcW w:type="dxa" w:w="3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Custom Field: cf_url</w:t>
            </w:r>
          </w:p>
        </w:tc>
        <w:tc>
          <w:tcPr>
            <w:tcW w:type="dxa" w:w="302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URL de acceso a la aplicación.</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IP</w:t>
            </w:r>
          </w:p>
        </w:tc>
        <w:tc>
          <w:tcPr>
            <w:tcW w:type="dxa" w:w="30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primary_ip (si existe)</w:t>
            </w:r>
          </w:p>
        </w:tc>
        <w:tc>
          <w:tcPr>
            <w:tcW w:type="dxa" w:w="3026"/>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Se intentará asignar como IP primaria de la VM.</w:t>
            </w:r>
          </w:p>
        </w:tc>
      </w:tr>
      <w:tr>
        <w:tc>
          <w:tcPr>
            <w:tcW w:type="dxa" w:w="3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BBDD</w:t>
            </w:r>
          </w:p>
        </w:tc>
        <w:tc>
          <w:tcPr>
            <w:tcW w:type="dxa" w:w="3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Custom Field: cf_bbdd</w:t>
            </w:r>
          </w:p>
        </w:tc>
        <w:tc>
          <w:tcPr>
            <w:tcW w:type="dxa" w:w="302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Referencia a la base de datos asociada.</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USO INTERNO/EXTERNO</w:t>
            </w:r>
          </w:p>
        </w:tc>
        <w:tc>
          <w:tcPr>
            <w:tcW w:type="dxa" w:w="30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Custom Field: cf_uso</w:t>
            </w:r>
          </w:p>
        </w:tc>
        <w:tc>
          <w:tcPr>
            <w:tcW w:type="dxa" w:w="3026"/>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Valores: INTERNO, EXTERNO.</w:t>
            </w:r>
          </w:p>
        </w:tc>
      </w:tr>
      <w:tr>
        <w:tc>
          <w:tcPr>
            <w:tcW w:type="dxa" w:w="3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OBSERVACION</w:t>
            </w:r>
          </w:p>
        </w:tc>
        <w:tc>
          <w:tcPr>
            <w:tcW w:type="dxa" w:w="3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comments</w:t>
            </w:r>
          </w:p>
        </w:tc>
        <w:tc>
          <w:tcPr>
            <w:tcW w:type="dxa" w:w="302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Campo libre de texto. Se mapea al campo comments nativo.</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Ruta Documentación</w:t>
            </w:r>
          </w:p>
        </w:tc>
        <w:tc>
          <w:tcPr>
            <w:tcW w:type="dxa" w:w="30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Custom Field: cf_ruta_documentacion</w:t>
            </w:r>
          </w:p>
        </w:tc>
        <w:tc>
          <w:tcPr>
            <w:tcW w:type="dxa" w:w="3026"/>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Ruta o enlace a documentación técnica.</w:t>
            </w:r>
          </w:p>
        </w:tc>
      </w:tr>
    </w:tbl>
    <w:p>
      <w:pPr>
        <w:spacing w:after="0" w:before="120"/>
      </w:pPr>
      <w:r>
        <w:rPr>
          <w:rFonts w:ascii="Arial" w:cs="Arial" w:eastAsia="Arial" w:hAnsi="Arial"/>
          <w:sz w:val="22"/>
          <w:szCs w:val="22"/>
        </w:rPr>
        <w:t xml:space="preserve"/>
      </w:r>
    </w:p>
    <w:p>
      <w:pPr>
        <w:pStyle w:val="Heading3"/>
        <w:spacing w:after="80" w:before="200"/>
      </w:pPr>
      <w:r>
        <w:rPr>
          <w:rFonts w:ascii="Arial" w:cs="Arial" w:eastAsia="Arial" w:hAnsi="Arial"/>
          <w:b/>
          <w:bCs/>
          <w:color w:val="1F4E79"/>
          <w:sz w:val="22"/>
          <w:szCs w:val="22"/>
        </w:rPr>
        <w:t xml:space="preserve">Clase Servicios TI (99 registros, 26 campos)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3D85C6" w:sz="1"/>
              <w:left w:val="single" w:color="3D85C6" w:sz="1"/>
              <w:bottom w:val="single" w:color="3D85C6" w:sz="1"/>
              <w:right w:val="single" w:color="3D85C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Campo CMDBuild</w:t>
            </w:r>
          </w:p>
        </w:tc>
        <w:tc>
          <w:tcPr>
            <w:tcW w:type="dxa" w:w="3000"/>
            <w:tcBorders>
              <w:top w:val="single" w:color="3D85C6" w:sz="1"/>
              <w:left w:val="single" w:color="3D85C6" w:sz="1"/>
              <w:bottom w:val="single" w:color="3D85C6" w:sz="1"/>
              <w:right w:val="single" w:color="3D85C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Campo NetBox</w:t>
            </w:r>
          </w:p>
        </w:tc>
        <w:tc>
          <w:tcPr>
            <w:tcW w:type="dxa" w:w="3026"/>
            <w:tcBorders>
              <w:top w:val="single" w:color="3D85C6" w:sz="1"/>
              <w:left w:val="single" w:color="3D85C6" w:sz="1"/>
              <w:bottom w:val="single" w:color="3D85C6" w:sz="1"/>
              <w:right w:val="single" w:color="3D85C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Observaciones</w:t>
            </w:r>
          </w:p>
        </w:tc>
      </w:tr>
      <w:tr>
        <w:tc>
          <w:tcPr>
            <w:tcW w:type="dxa" w:w="3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DISPOSITIVO (BDI)</w:t>
            </w:r>
          </w:p>
        </w:tc>
        <w:tc>
          <w:tcPr>
            <w:tcW w:type="dxa" w:w="3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name (Virtual Machine)</w:t>
            </w:r>
          </w:p>
        </w:tc>
        <w:tc>
          <w:tcPr>
            <w:tcW w:type="dxa" w:w="302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Identificador principal. Se añade tag 'servicio-ti'.</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IP Gestion / IP-ETH0 / IP-ETH1</w:t>
            </w:r>
          </w:p>
        </w:tc>
        <w:tc>
          <w:tcPr>
            <w:tcW w:type="dxa" w:w="30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Interfaces + IP Addresses</w:t>
            </w:r>
          </w:p>
        </w:tc>
        <w:tc>
          <w:tcPr>
            <w:tcW w:type="dxa" w:w="3026"/>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Se crean las interfaces necesarias y se asignan las IPs.</w:t>
            </w:r>
          </w:p>
        </w:tc>
      </w:tr>
      <w:tr>
        <w:tc>
          <w:tcPr>
            <w:tcW w:type="dxa" w:w="3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ENCARGO</w:t>
            </w:r>
          </w:p>
        </w:tc>
        <w:tc>
          <w:tcPr>
            <w:tcW w:type="dxa" w:w="3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tenant</w:t>
            </w:r>
          </w:p>
        </w:tc>
        <w:tc>
          <w:tcPr>
            <w:tcW w:type="dxa" w:w="302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Propietario o encargado del dispositivo (ej: SDT_ALM).</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SERVICIO GNIV</w:t>
            </w:r>
          </w:p>
        </w:tc>
        <w:tc>
          <w:tcPr>
            <w:tcW w:type="dxa" w:w="30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Custom Field: cf_servicio_gniv</w:t>
            </w:r>
          </w:p>
        </w:tc>
        <w:tc>
          <w:tcPr>
            <w:tcW w:type="dxa" w:w="3026"/>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Código de servicio GNIV.</w:t>
            </w:r>
          </w:p>
        </w:tc>
      </w:tr>
      <w:tr>
        <w:tc>
          <w:tcPr>
            <w:tcW w:type="dxa" w:w="3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PROYECTO_SERVICIO_CS</w:t>
            </w:r>
          </w:p>
        </w:tc>
        <w:tc>
          <w:tcPr>
            <w:tcW w:type="dxa" w:w="3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Custom Field: cf_proyecto_cs</w:t>
            </w:r>
          </w:p>
        </w:tc>
        <w:tc>
          <w:tcPr>
            <w:tcW w:type="dxa" w:w="302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Código de proyecto/servicio CS.</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CPU</w:t>
            </w:r>
          </w:p>
        </w:tc>
        <w:tc>
          <w:tcPr>
            <w:tcW w:type="dxa" w:w="30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vcpus</w:t>
            </w:r>
          </w:p>
        </w:tc>
        <w:tc>
          <w:tcPr>
            <w:tcW w:type="dxa" w:w="3026"/>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Campo nativo de VM en NetBox.</w:t>
            </w:r>
          </w:p>
        </w:tc>
      </w:tr>
      <w:tr>
        <w:tc>
          <w:tcPr>
            <w:tcW w:type="dxa" w:w="3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RAM (GB)</w:t>
            </w:r>
          </w:p>
        </w:tc>
        <w:tc>
          <w:tcPr>
            <w:tcW w:type="dxa" w:w="3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memory (MB)</w:t>
            </w:r>
          </w:p>
        </w:tc>
        <w:tc>
          <w:tcPr>
            <w:tcW w:type="dxa" w:w="302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Se convierte GB → MB multiplicando por 1024.</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DISK (GB)</w:t>
            </w:r>
          </w:p>
        </w:tc>
        <w:tc>
          <w:tcPr>
            <w:tcW w:type="dxa" w:w="30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disk (GB)</w:t>
            </w:r>
          </w:p>
        </w:tc>
        <w:tc>
          <w:tcPr>
            <w:tcW w:type="dxa" w:w="3026"/>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Campo nativo de VM en NetBox.</w:t>
            </w:r>
          </w:p>
        </w:tc>
      </w:tr>
      <w:tr>
        <w:tc>
          <w:tcPr>
            <w:tcW w:type="dxa" w:w="3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TAMAÑO U</w:t>
            </w:r>
          </w:p>
        </w:tc>
        <w:tc>
          <w:tcPr>
            <w:tcW w:type="dxa" w:w="3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Custom Field: cf_tamano_u</w:t>
            </w:r>
          </w:p>
        </w:tc>
        <w:tc>
          <w:tcPr>
            <w:tcW w:type="dxa" w:w="302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Unidades de rack ocupadas.</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ESPACIO ALM/BCK (GB)</w:t>
            </w:r>
          </w:p>
        </w:tc>
        <w:tc>
          <w:tcPr>
            <w:tcW w:type="dxa" w:w="30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Custom Field: cf_espacio_alm_bck</w:t>
            </w:r>
          </w:p>
        </w:tc>
        <w:tc>
          <w:tcPr>
            <w:tcW w:type="dxa" w:w="3026"/>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Espacio de almacenamiento/backup en GB.</w:t>
            </w:r>
          </w:p>
        </w:tc>
      </w:tr>
      <w:tr>
        <w:tc>
          <w:tcPr>
            <w:tcW w:type="dxa" w:w="3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ENTORNO</w:t>
            </w:r>
          </w:p>
        </w:tc>
        <w:tc>
          <w:tcPr>
            <w:tcW w:type="dxa" w:w="3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site</w:t>
            </w:r>
          </w:p>
        </w:tc>
        <w:tc>
          <w:tcPr>
            <w:tcW w:type="dxa" w:w="302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PRODUCCION, DESARROLLO, PREPRODUCCION.</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ESTADO</w:t>
            </w:r>
          </w:p>
        </w:tc>
        <w:tc>
          <w:tcPr>
            <w:tcW w:type="dxa" w:w="30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status</w:t>
            </w:r>
          </w:p>
        </w:tc>
        <w:tc>
          <w:tcPr>
            <w:tcW w:type="dxa" w:w="3026"/>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OPERATIVO → active; APAGADO → offline; BAJA → decommissioning.</w:t>
            </w:r>
          </w:p>
        </w:tc>
      </w:tr>
      <w:tr>
        <w:tc>
          <w:tcPr>
            <w:tcW w:type="dxa" w:w="3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APAGADO/BAJA</w:t>
            </w:r>
          </w:p>
        </w:tc>
        <w:tc>
          <w:tcPr>
            <w:tcW w:type="dxa" w:w="3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Custom Field: cf_apagado_baja</w:t>
            </w:r>
          </w:p>
        </w:tc>
        <w:tc>
          <w:tcPr>
            <w:tcW w:type="dxa" w:w="302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Motivo o fecha de apagado/baja.</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HORARIO</w:t>
            </w:r>
          </w:p>
        </w:tc>
        <w:tc>
          <w:tcPr>
            <w:tcW w:type="dxa" w:w="30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Custom Field: cf_horario</w:t>
            </w:r>
          </w:p>
        </w:tc>
        <w:tc>
          <w:tcPr>
            <w:tcW w:type="dxa" w:w="3026"/>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Horario de servicio (24x7, 12x5, etc.).</w:t>
            </w:r>
          </w:p>
        </w:tc>
      </w:tr>
      <w:tr>
        <w:tc>
          <w:tcPr>
            <w:tcW w:type="dxa" w:w="3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TIPO DISPOSITIVO</w:t>
            </w:r>
          </w:p>
        </w:tc>
        <w:tc>
          <w:tcPr>
            <w:tcW w:type="dxa" w:w="3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Custom Field: cf_tipo_dispositivo</w:t>
            </w:r>
          </w:p>
        </w:tc>
        <w:tc>
          <w:tcPr>
            <w:tcW w:type="dxa" w:w="302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Almacenamiento, Servidor Virtual, etc.</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TIPO EQUIPO</w:t>
            </w:r>
          </w:p>
        </w:tc>
        <w:tc>
          <w:tcPr>
            <w:tcW w:type="dxa" w:w="30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Custom Field: cf_tipo_equipo</w:t>
            </w:r>
          </w:p>
        </w:tc>
        <w:tc>
          <w:tcPr>
            <w:tcW w:type="dxa" w:w="3026"/>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Rol funcional del equipo.</w:t>
            </w:r>
          </w:p>
        </w:tc>
      </w:tr>
      <w:tr>
        <w:tc>
          <w:tcPr>
            <w:tcW w:type="dxa" w:w="3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DETALLE SERVICIO</w:t>
            </w:r>
          </w:p>
        </w:tc>
        <w:tc>
          <w:tcPr>
            <w:tcW w:type="dxa" w:w="3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comments</w:t>
            </w:r>
          </w:p>
        </w:tc>
        <w:tc>
          <w:tcPr>
            <w:tcW w:type="dxa" w:w="302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Descripción larga del servicio prestado.</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CONTACTOS</w:t>
            </w:r>
          </w:p>
        </w:tc>
        <w:tc>
          <w:tcPr>
            <w:tcW w:type="dxa" w:w="30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Custom Field: cf_contactos</w:t>
            </w:r>
          </w:p>
        </w:tc>
        <w:tc>
          <w:tcPr>
            <w:tcW w:type="dxa" w:w="3026"/>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Persona(s) de contacto del servicio.</w:t>
            </w:r>
          </w:p>
        </w:tc>
      </w:tr>
      <w:tr>
        <w:tc>
          <w:tcPr>
            <w:tcW w:type="dxa" w:w="3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ADMINISTRACIÓN</w:t>
            </w:r>
          </w:p>
        </w:tc>
        <w:tc>
          <w:tcPr>
            <w:tcW w:type="dxa" w:w="3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Custom Field: cf_administracion</w:t>
            </w:r>
          </w:p>
        </w:tc>
        <w:tc>
          <w:tcPr>
            <w:tcW w:type="dxa" w:w="302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Responsable de administración (ej: 100% EXPLOTACIÓN - N2).</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FECHA ALTA</w:t>
            </w:r>
          </w:p>
        </w:tc>
        <w:tc>
          <w:tcPr>
            <w:tcW w:type="dxa" w:w="30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Custom Field: cf_fecha_alta</w:t>
            </w:r>
          </w:p>
        </w:tc>
        <w:tc>
          <w:tcPr>
            <w:tcW w:type="dxa" w:w="3026"/>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Fecha de alta del dispositivo.</w:t>
            </w:r>
          </w:p>
        </w:tc>
      </w:tr>
      <w:tr>
        <w:tc>
          <w:tcPr>
            <w:tcW w:type="dxa" w:w="3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FECHA BAJA</w:t>
            </w:r>
          </w:p>
        </w:tc>
        <w:tc>
          <w:tcPr>
            <w:tcW w:type="dxa" w:w="3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Custom Field: cf_fecha_baja</w:t>
            </w:r>
          </w:p>
        </w:tc>
        <w:tc>
          <w:tcPr>
            <w:tcW w:type="dxa" w:w="302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Fecha de baja del dispositivo.</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SISTEMA OPERATIVO</w:t>
            </w:r>
          </w:p>
        </w:tc>
        <w:tc>
          <w:tcPr>
            <w:tcW w:type="dxa" w:w="30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platform</w:t>
            </w:r>
          </w:p>
        </w:tc>
        <w:tc>
          <w:tcPr>
            <w:tcW w:type="dxa" w:w="3026"/>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Campo nativo de VM en NetBox (plataforma/SO).</w:t>
            </w:r>
          </w:p>
        </w:tc>
      </w:tr>
      <w:tr>
        <w:tc>
          <w:tcPr>
            <w:tcW w:type="dxa" w:w="3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TIPO ALOJAMIENTO</w:t>
            </w:r>
          </w:p>
        </w:tc>
        <w:tc>
          <w:tcPr>
            <w:tcW w:type="dxa" w:w="3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Custom Field: cf_tipo_alojamiento</w:t>
            </w:r>
          </w:p>
        </w:tc>
        <w:tc>
          <w:tcPr>
            <w:tcW w:type="dxa" w:w="302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Hosting Virtual, CPD propio, etc.</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COMENTARIOS</w:t>
            </w:r>
          </w:p>
        </w:tc>
        <w:tc>
          <w:tcPr>
            <w:tcW w:type="dxa" w:w="30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comments (añadido)</w:t>
            </w:r>
          </w:p>
        </w:tc>
        <w:tc>
          <w:tcPr>
            <w:tcW w:type="dxa" w:w="3026"/>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Se concatena con DETALLE SERVICIO en el campo comments.</w:t>
            </w:r>
          </w:p>
        </w:tc>
      </w:tr>
    </w:tbl>
    <w:p>
      <w:pPr>
        <w:spacing w:after="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thick" w:color="2E75B6" w:sz="12"/>
              <w:bottom w:val="single" w:color="2E75B6" w:sz="4"/>
              <w:right w:val="none" w:color="FFFFFF" w:sz="0"/>
            </w:tcBorders>
            <w:shd w:fill="EBF3FB" w:val="clear"/>
            <w:tcMar>
              <w:top w:type="dxa" w:w="100"/>
              <w:left w:type="dxa" w:w="180"/>
              <w:bottom w:type="dxa" w:w="100"/>
              <w:right w:type="dxa" w:w="180"/>
            </w:tcMar>
          </w:tcPr>
          <w:p>
            <w:r>
              <w:rPr>
                <w:rFonts w:ascii="Arial" w:cs="Arial" w:eastAsia="Arial" w:hAnsi="Arial"/>
                <w:b/>
                <w:bCs/>
                <w:color w:val="1F4E79"/>
                <w:sz w:val="20"/>
                <w:szCs w:val="20"/>
              </w:rPr>
              <w:t xml:space="preserve">Nota técnica: </w:t>
            </w:r>
            <w:r>
              <w:rPr>
                <w:rFonts w:ascii="Arial" w:cs="Arial" w:eastAsia="Arial" w:hAnsi="Arial"/>
                <w:color w:val="595959"/>
                <w:sz w:val="20"/>
                <w:szCs w:val="20"/>
              </w:rPr>
              <w:t xml:space="preserve">El mapeo definitivo ha sido elaborado a partir del análisis de los CSV exportados de CMDBuild. Los campos sin equivalente nativo en NetBox se crean como Custom Fields de tipo texto o booleano antes de la importación. El mapeo de status requiere una tabla de conversión de valores que se incluye en el script.</w:t>
            </w:r>
          </w:p>
        </w:tc>
      </w:tr>
    </w:tbl>
    <w:p>
      <w:pPr>
        <w:spacing w:after="0" w:before="80"/>
      </w:pPr>
      <w:r>
        <w:rPr>
          <w:rFonts w:ascii="Arial" w:cs="Arial" w:eastAsia="Arial" w:hAnsi="Arial"/>
          <w:sz w:val="22"/>
          <w:szCs w:val="22"/>
        </w:rPr>
        <w:t xml:space="preserve"/>
      </w:r>
    </w:p>
    <w:p>
      <w:pPr>
        <w:pStyle w:val="Heading1"/>
        <w:spacing w:after="160" w:before="400"/>
      </w:pPr>
      <w:r>
        <w:rPr>
          <w:rFonts w:ascii="Arial" w:cs="Arial" w:eastAsia="Arial" w:hAnsi="Arial"/>
          <w:b/>
          <w:bCs/>
          <w:color w:val="1F4E79"/>
          <w:sz w:val="32"/>
          <w:szCs w:val="32"/>
        </w:rPr>
        <w:t xml:space="preserve">4. Plan de Trabajo</w:t>
      </w:r>
    </w:p>
    <w:p>
      <w:pPr>
        <w:pStyle w:val="Heading2"/>
        <w:spacing w:after="120" w:before="280"/>
      </w:pPr>
      <w:r>
        <w:rPr>
          <w:rFonts w:ascii="Arial" w:cs="Arial" w:eastAsia="Arial" w:hAnsi="Arial"/>
          <w:b/>
          <w:bCs/>
          <w:color w:val="2E75B6"/>
          <w:sz w:val="26"/>
          <w:szCs w:val="26"/>
        </w:rPr>
        <w:t xml:space="preserve">4.1. Fases del proyecto</w:t>
      </w:r>
    </w:p>
    <w:p>
      <w:pPr>
        <w:spacing w:after="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426"/>
        <w:gridCol w:w="1600"/>
        <w:gridCol w:w="3000"/>
      </w:tblGrid>
      <w:tr>
        <w:tc>
          <w:tcPr>
            <w:tcW w:type="dxa" w:w="1000"/>
            <w:tcBorders>
              <w:top w:val="single" w:color="3D85C6" w:sz="1"/>
              <w:left w:val="single" w:color="3D85C6" w:sz="1"/>
              <w:bottom w:val="single" w:color="3D85C6" w:sz="1"/>
              <w:right w:val="single" w:color="3D85C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Fase</w:t>
            </w:r>
          </w:p>
        </w:tc>
        <w:tc>
          <w:tcPr>
            <w:tcW w:type="dxa" w:w="3426"/>
            <w:tcBorders>
              <w:top w:val="single" w:color="3D85C6" w:sz="1"/>
              <w:left w:val="single" w:color="3D85C6" w:sz="1"/>
              <w:bottom w:val="single" w:color="3D85C6" w:sz="1"/>
              <w:right w:val="single" w:color="3D85C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c>
          <w:tcPr>
            <w:tcW w:type="dxa" w:w="1600"/>
            <w:tcBorders>
              <w:top w:val="single" w:color="3D85C6" w:sz="1"/>
              <w:left w:val="single" w:color="3D85C6" w:sz="1"/>
              <w:bottom w:val="single" w:color="3D85C6" w:sz="1"/>
              <w:right w:val="single" w:color="3D85C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Duración est.</w:t>
            </w:r>
          </w:p>
        </w:tc>
        <w:tc>
          <w:tcPr>
            <w:tcW w:type="dxa" w:w="3000"/>
            <w:tcBorders>
              <w:top w:val="single" w:color="3D85C6" w:sz="1"/>
              <w:left w:val="single" w:color="3D85C6" w:sz="1"/>
              <w:bottom w:val="single" w:color="3D85C6" w:sz="1"/>
              <w:right w:val="single" w:color="3D85C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Responsable</w:t>
            </w:r>
          </w:p>
        </w:tc>
      </w:tr>
      <w:tr>
        <w:tc>
          <w:tcPr>
            <w:tcW w:type="dxa" w:w="1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1</w:t>
            </w:r>
          </w:p>
        </w:tc>
        <w:tc>
          <w:tcPr>
            <w:tcW w:type="dxa" w:w="342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Preparación del entorno Docker</w:t>
            </w:r>
          </w:p>
        </w:tc>
        <w:tc>
          <w:tcPr>
            <w:tcW w:type="dxa" w:w="16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1-2 días</w:t>
            </w:r>
          </w:p>
        </w:tc>
        <w:tc>
          <w:tcPr>
            <w:tcW w:type="dxa" w:w="3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Equipo técnico</w:t>
            </w:r>
          </w:p>
        </w:tc>
      </w:tr>
      <w:tr>
        <w:tc>
          <w:tcPr>
            <w:tcW w:type="dxa" w:w="1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2</w:t>
            </w:r>
          </w:p>
        </w:tc>
        <w:tc>
          <w:tcPr>
            <w:tcW w:type="dxa" w:w="3426"/>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Análisis y exportación de datos CMDBuild</w:t>
            </w:r>
          </w:p>
        </w:tc>
        <w:tc>
          <w:tcPr>
            <w:tcW w:type="dxa" w:w="16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 día</w:t>
            </w:r>
          </w:p>
        </w:tc>
        <w:tc>
          <w:tcPr>
            <w:tcW w:type="dxa" w:w="3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Administrador CMDBuild</w:t>
            </w:r>
          </w:p>
        </w:tc>
      </w:tr>
      <w:tr>
        <w:tc>
          <w:tcPr>
            <w:tcW w:type="dxa" w:w="1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3</w:t>
            </w:r>
          </w:p>
        </w:tc>
        <w:tc>
          <w:tcPr>
            <w:tcW w:type="dxa" w:w="342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Desarrollo del script de transformación</w:t>
            </w:r>
          </w:p>
        </w:tc>
        <w:tc>
          <w:tcPr>
            <w:tcW w:type="dxa" w:w="16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2-3 días</w:t>
            </w:r>
          </w:p>
        </w:tc>
        <w:tc>
          <w:tcPr>
            <w:tcW w:type="dxa" w:w="3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Equipo técnico</w:t>
            </w:r>
          </w:p>
        </w:tc>
      </w:tr>
      <w:tr>
        <w:tc>
          <w:tcPr>
            <w:tcW w:type="dxa" w:w="1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4</w:t>
            </w:r>
          </w:p>
        </w:tc>
        <w:tc>
          <w:tcPr>
            <w:tcW w:type="dxa" w:w="3426"/>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Ejecución en entorno de pruebas</w:t>
            </w:r>
          </w:p>
        </w:tc>
        <w:tc>
          <w:tcPr>
            <w:tcW w:type="dxa" w:w="16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 día</w:t>
            </w:r>
          </w:p>
        </w:tc>
        <w:tc>
          <w:tcPr>
            <w:tcW w:type="dxa" w:w="3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Equipo técnico</w:t>
            </w:r>
          </w:p>
        </w:tc>
      </w:tr>
      <w:tr>
        <w:tc>
          <w:tcPr>
            <w:tcW w:type="dxa" w:w="1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5</w:t>
            </w:r>
          </w:p>
        </w:tc>
        <w:tc>
          <w:tcPr>
            <w:tcW w:type="dxa" w:w="342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Validación y revisión funcional</w:t>
            </w:r>
          </w:p>
        </w:tc>
        <w:tc>
          <w:tcPr>
            <w:tcW w:type="dxa" w:w="16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1-2 días</w:t>
            </w:r>
          </w:p>
        </w:tc>
        <w:tc>
          <w:tcPr>
            <w:tcW w:type="dxa" w:w="3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Negocio + Técnico</w:t>
            </w:r>
          </w:p>
        </w:tc>
      </w:tr>
      <w:tr>
        <w:tc>
          <w:tcPr>
            <w:tcW w:type="dxa" w:w="1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6</w:t>
            </w:r>
          </w:p>
        </w:tc>
        <w:tc>
          <w:tcPr>
            <w:tcW w:type="dxa" w:w="3426"/>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Migración a producción y cierre</w:t>
            </w:r>
          </w:p>
        </w:tc>
        <w:tc>
          <w:tcPr>
            <w:tcW w:type="dxa" w:w="16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 día</w:t>
            </w:r>
          </w:p>
        </w:tc>
        <w:tc>
          <w:tcPr>
            <w:tcW w:type="dxa" w:w="3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Equipo técnico</w:t>
            </w:r>
          </w:p>
        </w:tc>
      </w:tr>
    </w:tbl>
    <w:p>
      <w:pPr>
        <w:spacing w:after="0" w:before="80"/>
      </w:pPr>
      <w:r>
        <w:rPr>
          <w:rFonts w:ascii="Arial" w:cs="Arial" w:eastAsia="Arial" w:hAnsi="Arial"/>
          <w:sz w:val="22"/>
          <w:szCs w:val="22"/>
        </w:rPr>
        <w:t xml:space="preserve"/>
      </w:r>
    </w:p>
    <w:p>
      <w:pPr>
        <w:spacing w:after="80" w:before="80"/>
      </w:pPr>
      <w:r>
        <w:rPr>
          <w:rFonts w:ascii="Arial" w:cs="Arial" w:eastAsia="Arial" w:hAnsi="Arial"/>
          <w:color w:val="000000"/>
          <w:sz w:val="22"/>
          <w:szCs w:val="22"/>
        </w:rPr>
        <w:t xml:space="preserve">Duración total estimada: 7-10 días laborables desde la aprobación de esta propuesta.</w:t>
      </w:r>
    </w:p>
    <w:p>
      <w:pPr>
        <w:spacing w:after="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6"/>
          <w:szCs w:val="26"/>
        </w:rPr>
        <w:t xml:space="preserve">4.2. Detalle por fase</w:t>
      </w:r>
    </w:p>
    <w:p>
      <w:pPr>
        <w:pStyle w:val="Heading3"/>
        <w:spacing w:after="80" w:before="200"/>
      </w:pPr>
      <w:r>
        <w:rPr>
          <w:rFonts w:ascii="Arial" w:cs="Arial" w:eastAsia="Arial" w:hAnsi="Arial"/>
          <w:b/>
          <w:bCs/>
          <w:color w:val="1F4E79"/>
          <w:sz w:val="22"/>
          <w:szCs w:val="22"/>
        </w:rPr>
        <w:t xml:space="preserve">Fase 1 — Preparación del entorno Docker</w:t>
      </w:r>
    </w:p>
    <w:p>
      <w:pPr>
        <w:pStyle w:val="ListParagraph"/>
        <w:numPr>
          <w:ilvl w:val="0"/>
          <w:numId w:val="3"/>
        </w:numPr>
        <w:spacing w:after="60" w:before="60"/>
      </w:pPr>
      <w:r>
        <w:rPr>
          <w:rFonts w:ascii="Arial" w:cs="Arial" w:eastAsia="Arial" w:hAnsi="Arial"/>
          <w:color w:val="000000"/>
          <w:sz w:val="22"/>
          <w:szCs w:val="22"/>
        </w:rPr>
        <w:t xml:space="preserve">Instalación de Docker Desktop en el equipo designado.</w:t>
      </w:r>
    </w:p>
    <w:p>
      <w:pPr>
        <w:pStyle w:val="ListParagraph"/>
        <w:numPr>
          <w:ilvl w:val="0"/>
          <w:numId w:val="3"/>
        </w:numPr>
        <w:spacing w:after="60" w:before="60"/>
      </w:pPr>
      <w:r>
        <w:rPr>
          <w:rFonts w:ascii="Arial" w:cs="Arial" w:eastAsia="Arial" w:hAnsi="Arial"/>
          <w:color w:val="000000"/>
          <w:sz w:val="22"/>
          <w:szCs w:val="22"/>
        </w:rPr>
        <w:t xml:space="preserve">Clonado del repositorio oficial netbox-community/netbox-docker.</w:t>
      </w:r>
    </w:p>
    <w:p>
      <w:pPr>
        <w:pStyle w:val="ListParagraph"/>
        <w:numPr>
          <w:ilvl w:val="0"/>
          <w:numId w:val="3"/>
        </w:numPr>
        <w:spacing w:after="60" w:before="60"/>
      </w:pPr>
      <w:r>
        <w:rPr>
          <w:rFonts w:ascii="Arial" w:cs="Arial" w:eastAsia="Arial" w:hAnsi="Arial"/>
          <w:color w:val="000000"/>
          <w:sz w:val="22"/>
          <w:szCs w:val="22"/>
        </w:rPr>
        <w:t xml:space="preserve">Fijación de la versión de la imagen a netboxcommunity/netbox:v4.1 en el docker-compose.yml.</w:t>
      </w:r>
    </w:p>
    <w:p>
      <w:pPr>
        <w:pStyle w:val="ListParagraph"/>
        <w:numPr>
          <w:ilvl w:val="0"/>
          <w:numId w:val="3"/>
        </w:numPr>
        <w:spacing w:after="60" w:before="60"/>
      </w:pPr>
      <w:r>
        <w:rPr>
          <w:rFonts w:ascii="Arial" w:cs="Arial" w:eastAsia="Arial" w:hAnsi="Arial"/>
          <w:color w:val="000000"/>
          <w:sz w:val="22"/>
          <w:szCs w:val="22"/>
        </w:rPr>
        <w:t xml:space="preserve">Configuración de variables de entorno (puerto, credenciales, zona horaria Europe/Madrid).</w:t>
      </w:r>
    </w:p>
    <w:p>
      <w:pPr>
        <w:pStyle w:val="ListParagraph"/>
        <w:numPr>
          <w:ilvl w:val="0"/>
          <w:numId w:val="3"/>
        </w:numPr>
        <w:spacing w:after="60" w:before="60"/>
      </w:pPr>
      <w:r>
        <w:rPr>
          <w:rFonts w:ascii="Arial" w:cs="Arial" w:eastAsia="Arial" w:hAnsi="Arial"/>
          <w:color w:val="000000"/>
          <w:sz w:val="22"/>
          <w:szCs w:val="22"/>
        </w:rPr>
        <w:t xml:space="preserve">Arranque del stack con docker compose up -d y verificación de salud de los servicios.</w:t>
      </w:r>
    </w:p>
    <w:p>
      <w:pPr>
        <w:pStyle w:val="ListParagraph"/>
        <w:numPr>
          <w:ilvl w:val="0"/>
          <w:numId w:val="3"/>
        </w:numPr>
        <w:spacing w:after="60" w:before="60"/>
      </w:pPr>
      <w:r>
        <w:rPr>
          <w:rFonts w:ascii="Arial" w:cs="Arial" w:eastAsia="Arial" w:hAnsi="Arial"/>
          <w:color w:val="000000"/>
          <w:sz w:val="22"/>
          <w:szCs w:val="22"/>
        </w:rPr>
        <w:t xml:space="preserve">Creación del superusuario y generación del token de API con permisos de escritura.</w:t>
      </w:r>
    </w:p>
    <w:p>
      <w:pPr>
        <w:spacing w:after="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1F4E79"/>
          <w:sz w:val="22"/>
          <w:szCs w:val="22"/>
        </w:rPr>
        <w:t xml:space="preserve">Fase 2 — Análisis y exportación de datos</w:t>
      </w:r>
    </w:p>
    <w:p>
      <w:pPr>
        <w:pStyle w:val="ListParagraph"/>
        <w:numPr>
          <w:ilvl w:val="0"/>
          <w:numId w:val="3"/>
        </w:numPr>
        <w:spacing w:after="60" w:before="60"/>
      </w:pPr>
      <w:r>
        <w:rPr>
          <w:rFonts w:ascii="Arial" w:cs="Arial" w:eastAsia="Arial" w:hAnsi="Arial"/>
          <w:color w:val="000000"/>
          <w:sz w:val="22"/>
          <w:szCs w:val="22"/>
        </w:rPr>
        <w:t xml:space="preserve">Exportación de las clases Servicios TI y Aplicaciones en formato CSV desde CMDBuild (ya disponibles: 99 y 77 registros respectivamente).</w:t>
      </w:r>
    </w:p>
    <w:p>
      <w:pPr>
        <w:pStyle w:val="ListParagraph"/>
        <w:numPr>
          <w:ilvl w:val="0"/>
          <w:numId w:val="3"/>
        </w:numPr>
        <w:spacing w:after="60" w:before="60"/>
      </w:pPr>
      <w:r>
        <w:rPr>
          <w:rFonts w:ascii="Arial" w:cs="Arial" w:eastAsia="Arial" w:hAnsi="Arial"/>
          <w:color w:val="000000"/>
          <w:sz w:val="22"/>
          <w:szCs w:val="22"/>
        </w:rPr>
        <w:t xml:space="preserve">Validación de codificación UTF-8 y separador de campos (;) en los CSV exportados.</w:t>
      </w:r>
    </w:p>
    <w:p>
      <w:pPr>
        <w:pStyle w:val="ListParagraph"/>
        <w:numPr>
          <w:ilvl w:val="0"/>
          <w:numId w:val="3"/>
        </w:numPr>
        <w:spacing w:after="60" w:before="60"/>
      </w:pPr>
      <w:r>
        <w:rPr>
          <w:rFonts w:ascii="Arial" w:cs="Arial" w:eastAsia="Arial" w:hAnsi="Arial"/>
          <w:color w:val="000000"/>
          <w:sz w:val="22"/>
          <w:szCs w:val="22"/>
        </w:rPr>
        <w:t xml:space="preserve">Revisión de valores nulos, campos vacíos y anomalías en los datos (especialmente en campos de IPs, fechas y estado).</w:t>
      </w:r>
    </w:p>
    <w:p>
      <w:pPr>
        <w:pStyle w:val="ListParagraph"/>
        <w:numPr>
          <w:ilvl w:val="0"/>
          <w:numId w:val="3"/>
        </w:numPr>
        <w:spacing w:after="60" w:before="60"/>
      </w:pPr>
      <w:r>
        <w:rPr>
          <w:rFonts w:ascii="Arial" w:cs="Arial" w:eastAsia="Arial" w:hAnsi="Arial"/>
          <w:color w:val="000000"/>
          <w:sz w:val="22"/>
          <w:szCs w:val="22"/>
        </w:rPr>
        <w:t xml:space="preserve">Confirmación del mapeo de valores de estado: ALTA/OPERATIVO → active, DESARROLLO → staged, BAJA → decommissioning.</w:t>
      </w:r>
    </w:p>
    <w:p>
      <w:pPr>
        <w:spacing w:after="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1F4E79"/>
          <w:sz w:val="22"/>
          <w:szCs w:val="22"/>
        </w:rPr>
        <w:t xml:space="preserve">Fase 3 — Desarrollo del script de migración</w:t>
      </w:r>
    </w:p>
    <w:p>
      <w:pPr>
        <w:pStyle w:val="ListParagraph"/>
        <w:numPr>
          <w:ilvl w:val="0"/>
          <w:numId w:val="3"/>
        </w:numPr>
        <w:spacing w:after="60" w:before="60"/>
      </w:pPr>
      <w:r>
        <w:rPr>
          <w:rFonts w:ascii="Arial" w:cs="Arial" w:eastAsia="Arial" w:hAnsi="Arial"/>
          <w:color w:val="000000"/>
          <w:sz w:val="22"/>
          <w:szCs w:val="22"/>
        </w:rPr>
        <w:t xml:space="preserve">Creación del script Python con las bibliotecas requests, pandas y tqdm.</w:t>
      </w:r>
    </w:p>
    <w:p>
      <w:pPr>
        <w:pStyle w:val="ListParagraph"/>
        <w:numPr>
          <w:ilvl w:val="0"/>
          <w:numId w:val="3"/>
        </w:numPr>
        <w:spacing w:after="60" w:before="60"/>
      </w:pPr>
      <w:r>
        <w:rPr>
          <w:rFonts w:ascii="Arial" w:cs="Arial" w:eastAsia="Arial" w:hAnsi="Arial"/>
          <w:color w:val="000000"/>
          <w:sz w:val="22"/>
          <w:szCs w:val="22"/>
        </w:rPr>
        <w:t xml:space="preserve">Implementación de la creación previa de objetos dependientes en NetBox:</w:t>
      </w:r>
    </w:p>
    <w:p>
      <w:pPr>
        <w:pStyle w:val="ListParagraph"/>
        <w:numPr>
          <w:ilvl w:val="1"/>
          <w:numId w:val="2"/>
        </w:numPr>
        <w:spacing w:after="60" w:before="60"/>
      </w:pPr>
      <w:r>
        <w:rPr>
          <w:rFonts w:ascii="Arial" w:cs="Arial" w:eastAsia="Arial" w:hAnsi="Arial"/>
          <w:color w:val="000000"/>
          <w:sz w:val="22"/>
          <w:szCs w:val="22"/>
        </w:rPr>
        <w:t xml:space="preserve">Sites para cada valor de ENTORNO (PRODUCCION, DESARROLLO, PREPRODUCCION).</w:t>
      </w:r>
    </w:p>
    <w:p>
      <w:pPr>
        <w:pStyle w:val="ListParagraph"/>
        <w:numPr>
          <w:ilvl w:val="1"/>
          <w:numId w:val="2"/>
        </w:numPr>
        <w:spacing w:after="60" w:before="60"/>
      </w:pPr>
      <w:r>
        <w:rPr>
          <w:rFonts w:ascii="Arial" w:cs="Arial" w:eastAsia="Arial" w:hAnsi="Arial"/>
          <w:color w:val="000000"/>
          <w:sz w:val="22"/>
          <w:szCs w:val="22"/>
        </w:rPr>
        <w:t xml:space="preserve">Tenants para cada valor de ENCARGO (SDT_ALM, etc.).</w:t>
      </w:r>
    </w:p>
    <w:p>
      <w:pPr>
        <w:pStyle w:val="ListParagraph"/>
        <w:numPr>
          <w:ilvl w:val="1"/>
          <w:numId w:val="2"/>
        </w:numPr>
        <w:spacing w:after="60" w:before="60"/>
      </w:pPr>
      <w:r>
        <w:rPr>
          <w:rFonts w:ascii="Arial" w:cs="Arial" w:eastAsia="Arial" w:hAnsi="Arial"/>
          <w:color w:val="000000"/>
          <w:sz w:val="22"/>
          <w:szCs w:val="22"/>
        </w:rPr>
        <w:t xml:space="preserve">Custom Fields para todos los campos sin equivalente nativo (ver sección 3.2).</w:t>
      </w:r>
    </w:p>
    <w:p>
      <w:pPr>
        <w:pStyle w:val="ListParagraph"/>
        <w:numPr>
          <w:ilvl w:val="1"/>
          <w:numId w:val="2"/>
        </w:numPr>
        <w:spacing w:after="60" w:before="60"/>
      </w:pPr>
      <w:r>
        <w:rPr>
          <w:rFonts w:ascii="Arial" w:cs="Arial" w:eastAsia="Arial" w:hAnsi="Arial"/>
          <w:color w:val="000000"/>
          <w:sz w:val="22"/>
          <w:szCs w:val="22"/>
        </w:rPr>
        <w:t xml:space="preserve">Tags: 'aplicacion' y 'servicio-ti' para diferenciar el origen de cada registro.</w:t>
      </w:r>
    </w:p>
    <w:p>
      <w:pPr>
        <w:pStyle w:val="ListParagraph"/>
        <w:numPr>
          <w:ilvl w:val="0"/>
          <w:numId w:val="3"/>
        </w:numPr>
        <w:spacing w:after="60" w:before="60"/>
      </w:pPr>
      <w:r>
        <w:rPr>
          <w:rFonts w:ascii="Arial" w:cs="Arial" w:eastAsia="Arial" w:hAnsi="Arial"/>
          <w:color w:val="000000"/>
          <w:sz w:val="22"/>
          <w:szCs w:val="22"/>
        </w:rPr>
        <w:t xml:space="preserve">Importación de registros con control de duplicados por nombre + site.</w:t>
      </w:r>
    </w:p>
    <w:p>
      <w:pPr>
        <w:pStyle w:val="ListParagraph"/>
        <w:numPr>
          <w:ilvl w:val="0"/>
          <w:numId w:val="3"/>
        </w:numPr>
        <w:spacing w:after="60" w:before="60"/>
      </w:pPr>
      <w:r>
        <w:rPr>
          <w:rFonts w:ascii="Arial" w:cs="Arial" w:eastAsia="Arial" w:hAnsi="Arial"/>
          <w:color w:val="000000"/>
          <w:sz w:val="22"/>
          <w:szCs w:val="22"/>
        </w:rPr>
        <w:t xml:space="preserve">Gestión de IPs: creación de interfaces y asignación de direcciones IP para los Servicios TI.</w:t>
      </w:r>
    </w:p>
    <w:p>
      <w:pPr>
        <w:pStyle w:val="ListParagraph"/>
        <w:numPr>
          <w:ilvl w:val="0"/>
          <w:numId w:val="3"/>
        </w:numPr>
        <w:spacing w:after="60" w:before="60"/>
      </w:pPr>
      <w:r>
        <w:rPr>
          <w:rFonts w:ascii="Arial" w:cs="Arial" w:eastAsia="Arial" w:hAnsi="Arial"/>
          <w:color w:val="000000"/>
          <w:sz w:val="22"/>
          <w:szCs w:val="22"/>
        </w:rPr>
        <w:t xml:space="preserve">Registro detallado de cada operación en fichero de log con estado (éxito/omitido/error).</w:t>
      </w:r>
    </w:p>
    <w:p>
      <w:pPr>
        <w:pStyle w:val="ListParagraph"/>
        <w:numPr>
          <w:ilvl w:val="0"/>
          <w:numId w:val="3"/>
        </w:numPr>
        <w:spacing w:after="60" w:before="60"/>
      </w:pPr>
      <w:r>
        <w:rPr>
          <w:rFonts w:ascii="Arial" w:cs="Arial" w:eastAsia="Arial" w:hAnsi="Arial"/>
          <w:color w:val="000000"/>
          <w:sz w:val="22"/>
          <w:szCs w:val="22"/>
        </w:rPr>
        <w:t xml:space="preserve">Pruebas con subconjunto de 10 registros de cada clase antes de la ejecución completa.</w:t>
      </w:r>
    </w:p>
    <w:p>
      <w:pPr>
        <w:spacing w:after="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1F4E79"/>
          <w:sz w:val="22"/>
          <w:szCs w:val="22"/>
        </w:rPr>
        <w:t xml:space="preserve">Fase 4 — Ejecución en entorno de pruebas</w:t>
      </w:r>
    </w:p>
    <w:p>
      <w:pPr>
        <w:pStyle w:val="ListParagraph"/>
        <w:numPr>
          <w:ilvl w:val="0"/>
          <w:numId w:val="3"/>
        </w:numPr>
        <w:spacing w:after="60" w:before="60"/>
      </w:pPr>
      <w:r>
        <w:rPr>
          <w:rFonts w:ascii="Arial" w:cs="Arial" w:eastAsia="Arial" w:hAnsi="Arial"/>
          <w:color w:val="000000"/>
          <w:sz w:val="22"/>
          <w:szCs w:val="22"/>
        </w:rPr>
        <w:t xml:space="preserve">Importación completa de los 176 registros en el entorno Docker local.</w:t>
      </w:r>
    </w:p>
    <w:p>
      <w:pPr>
        <w:pStyle w:val="ListParagraph"/>
        <w:numPr>
          <w:ilvl w:val="0"/>
          <w:numId w:val="3"/>
        </w:numPr>
        <w:spacing w:after="60" w:before="60"/>
      </w:pPr>
      <w:r>
        <w:rPr>
          <w:rFonts w:ascii="Arial" w:cs="Arial" w:eastAsia="Arial" w:hAnsi="Arial"/>
          <w:color w:val="000000"/>
          <w:sz w:val="22"/>
          <w:szCs w:val="22"/>
        </w:rPr>
        <w:t xml:space="preserve">Verificación del log de ejecución: cero errores esperados, registros omitidos justificados.</w:t>
      </w:r>
    </w:p>
    <w:p>
      <w:pPr>
        <w:pStyle w:val="ListParagraph"/>
        <w:numPr>
          <w:ilvl w:val="0"/>
          <w:numId w:val="3"/>
        </w:numPr>
        <w:spacing w:after="60" w:before="60"/>
      </w:pPr>
      <w:r>
        <w:rPr>
          <w:rFonts w:ascii="Arial" w:cs="Arial" w:eastAsia="Arial" w:hAnsi="Arial"/>
          <w:color w:val="000000"/>
          <w:sz w:val="22"/>
          <w:szCs w:val="22"/>
        </w:rPr>
        <w:t xml:space="preserve">Corrección de incidencias y nueva ejecución si fuera necesario.</w:t>
      </w:r>
    </w:p>
    <w:p>
      <w:pPr>
        <w:spacing w:after="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1F4E79"/>
          <w:sz w:val="22"/>
          <w:szCs w:val="22"/>
        </w:rPr>
        <w:t xml:space="preserve">Fase 5 — Validación</w:t>
      </w:r>
    </w:p>
    <w:p>
      <w:pPr>
        <w:pStyle w:val="ListParagraph"/>
        <w:numPr>
          <w:ilvl w:val="0"/>
          <w:numId w:val="3"/>
        </w:numPr>
        <w:spacing w:after="60" w:before="60"/>
      </w:pPr>
      <w:r>
        <w:rPr>
          <w:rFonts w:ascii="Arial" w:cs="Arial" w:eastAsia="Arial" w:hAnsi="Arial"/>
          <w:color w:val="000000"/>
          <w:sz w:val="22"/>
          <w:szCs w:val="22"/>
        </w:rPr>
        <w:t xml:space="preserve">Verificación de que los 176 registros (77 Aplicaciones + 99 Servicios TI) están presentes en NetBox.</w:t>
      </w:r>
    </w:p>
    <w:p>
      <w:pPr>
        <w:pStyle w:val="ListParagraph"/>
        <w:numPr>
          <w:ilvl w:val="0"/>
          <w:numId w:val="3"/>
        </w:numPr>
        <w:spacing w:after="60" w:before="60"/>
      </w:pPr>
      <w:r>
        <w:rPr>
          <w:rFonts w:ascii="Arial" w:cs="Arial" w:eastAsia="Arial" w:hAnsi="Arial"/>
          <w:color w:val="000000"/>
          <w:sz w:val="22"/>
          <w:szCs w:val="22"/>
        </w:rPr>
        <w:t xml:space="preserve">Revisión por muestreo de al menos el 10% de los registros de cada clase (mínimo 8 Aplicaciones y 10 Servicios TI).</w:t>
      </w:r>
    </w:p>
    <w:p>
      <w:pPr>
        <w:pStyle w:val="ListParagraph"/>
        <w:numPr>
          <w:ilvl w:val="0"/>
          <w:numId w:val="3"/>
        </w:numPr>
        <w:spacing w:after="60" w:before="60"/>
      </w:pPr>
      <w:r>
        <w:rPr>
          <w:rFonts w:ascii="Arial" w:cs="Arial" w:eastAsia="Arial" w:hAnsi="Arial"/>
          <w:color w:val="000000"/>
          <w:sz w:val="22"/>
          <w:szCs w:val="22"/>
        </w:rPr>
        <w:t xml:space="preserve">Confirmación por el responsable funcional de que los datos son correctos y completos.</w:t>
      </w:r>
    </w:p>
    <w:p>
      <w:pPr>
        <w:pStyle w:val="ListParagraph"/>
        <w:numPr>
          <w:ilvl w:val="0"/>
          <w:numId w:val="3"/>
        </w:numPr>
        <w:spacing w:after="60" w:before="60"/>
      </w:pPr>
      <w:r>
        <w:rPr>
          <w:rFonts w:ascii="Arial" w:cs="Arial" w:eastAsia="Arial" w:hAnsi="Arial"/>
          <w:color w:val="000000"/>
          <w:sz w:val="22"/>
          <w:szCs w:val="22"/>
        </w:rPr>
        <w:t xml:space="preserve">Aprobación formal para proceder a producción.</w:t>
      </w:r>
    </w:p>
    <w:p>
      <w:pPr>
        <w:spacing w:after="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1F4E79"/>
          <w:sz w:val="22"/>
          <w:szCs w:val="22"/>
        </w:rPr>
        <w:t xml:space="preserve">Fase 6 — Migración a producción y cierre</w:t>
      </w:r>
    </w:p>
    <w:p>
      <w:pPr>
        <w:pStyle w:val="ListParagraph"/>
        <w:numPr>
          <w:ilvl w:val="0"/>
          <w:numId w:val="3"/>
        </w:numPr>
        <w:spacing w:after="60" w:before="60"/>
      </w:pPr>
      <w:r>
        <w:rPr>
          <w:rFonts w:ascii="Arial" w:cs="Arial" w:eastAsia="Arial" w:hAnsi="Arial"/>
          <w:color w:val="000000"/>
          <w:sz w:val="22"/>
          <w:szCs w:val="22"/>
        </w:rPr>
        <w:t xml:space="preserve">Si NetBox se despliega en servidor corporativo: repetición del proceso en el entorno productivo.</w:t>
      </w:r>
    </w:p>
    <w:p>
      <w:pPr>
        <w:pStyle w:val="ListParagraph"/>
        <w:numPr>
          <w:ilvl w:val="0"/>
          <w:numId w:val="3"/>
        </w:numPr>
        <w:spacing w:after="60" w:before="60"/>
      </w:pPr>
      <w:r>
        <w:rPr>
          <w:rFonts w:ascii="Arial" w:cs="Arial" w:eastAsia="Arial" w:hAnsi="Arial"/>
          <w:color w:val="000000"/>
          <w:sz w:val="22"/>
          <w:szCs w:val="22"/>
        </w:rPr>
        <w:t xml:space="preserve">Si se mantiene en Docker local: exportación del volumen PostgreSQL y traslado al servidor destino.</w:t>
      </w:r>
    </w:p>
    <w:p>
      <w:pPr>
        <w:pStyle w:val="ListParagraph"/>
        <w:numPr>
          <w:ilvl w:val="0"/>
          <w:numId w:val="3"/>
        </w:numPr>
        <w:spacing w:after="60" w:before="60"/>
      </w:pPr>
      <w:r>
        <w:rPr>
          <w:rFonts w:ascii="Arial" w:cs="Arial" w:eastAsia="Arial" w:hAnsi="Arial"/>
          <w:color w:val="000000"/>
          <w:sz w:val="22"/>
          <w:szCs w:val="22"/>
        </w:rPr>
        <w:t xml:space="preserve">Periodo de coexistencia: CMDBuild permanecerá operativo y en modo lectura durante 30 días tras la migración, como garantía de rollback.</w:t>
      </w:r>
    </w:p>
    <w:p>
      <w:pPr>
        <w:pStyle w:val="ListParagraph"/>
        <w:numPr>
          <w:ilvl w:val="0"/>
          <w:numId w:val="3"/>
        </w:numPr>
        <w:spacing w:after="60" w:before="60"/>
      </w:pPr>
      <w:r>
        <w:rPr>
          <w:rFonts w:ascii="Arial" w:cs="Arial" w:eastAsia="Arial" w:hAnsi="Arial"/>
          <w:color w:val="000000"/>
          <w:sz w:val="22"/>
          <w:szCs w:val="22"/>
        </w:rPr>
        <w:t xml:space="preserve">Desactivación de CMDBuild (o restricción de acceso) una vez superado el periodo de coexistencia y validada la correcta operación de NetBox.</w:t>
      </w:r>
    </w:p>
    <w:p>
      <w:pPr>
        <w:pStyle w:val="ListParagraph"/>
        <w:numPr>
          <w:ilvl w:val="0"/>
          <w:numId w:val="3"/>
        </w:numPr>
        <w:spacing w:after="60" w:before="60"/>
      </w:pPr>
      <w:r>
        <w:rPr>
          <w:rFonts w:ascii="Arial" w:cs="Arial" w:eastAsia="Arial" w:hAnsi="Arial"/>
          <w:color w:val="000000"/>
          <w:sz w:val="22"/>
          <w:szCs w:val="22"/>
        </w:rPr>
        <w:t xml:space="preserve">Entrega de la documentación técnica final y cierre del proyecto.</w:t>
      </w:r>
    </w:p>
    <w:p>
      <w:pPr>
        <w:spacing w:after="0" w:before="80"/>
      </w:pPr>
      <w:r>
        <w:rPr>
          <w:rFonts w:ascii="Arial" w:cs="Arial" w:eastAsia="Arial" w:hAnsi="Arial"/>
          <w:sz w:val="22"/>
          <w:szCs w:val="22"/>
        </w:rPr>
        <w:t xml:space="preserve"/>
      </w:r>
    </w:p>
    <w:p>
      <w:pPr>
        <w:pStyle w:val="Heading1"/>
        <w:spacing w:after="160" w:before="400"/>
      </w:pPr>
      <w:r>
        <w:rPr>
          <w:rFonts w:ascii="Arial" w:cs="Arial" w:eastAsia="Arial" w:hAnsi="Arial"/>
          <w:b/>
          <w:bCs/>
          <w:color w:val="1F4E79"/>
          <w:sz w:val="32"/>
          <w:szCs w:val="32"/>
        </w:rPr>
        <w:t xml:space="preserve">5. Requisitos Técnicos</w:t>
      </w:r>
    </w:p>
    <w:p>
      <w:pPr>
        <w:pStyle w:val="Heading2"/>
        <w:spacing w:after="120" w:before="280"/>
      </w:pPr>
      <w:r>
        <w:rPr>
          <w:rFonts w:ascii="Arial" w:cs="Arial" w:eastAsia="Arial" w:hAnsi="Arial"/>
          <w:b/>
          <w:bCs/>
          <w:color w:val="2E75B6"/>
          <w:sz w:val="26"/>
          <w:szCs w:val="26"/>
        </w:rPr>
        <w:t xml:space="preserve">5.1. Requisitos de hardware y software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3D85C6" w:sz="1"/>
              <w:left w:val="single" w:color="3D85C6" w:sz="1"/>
              <w:bottom w:val="single" w:color="3D85C6" w:sz="1"/>
              <w:right w:val="single" w:color="3D85C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Componente</w:t>
            </w:r>
          </w:p>
        </w:tc>
        <w:tc>
          <w:tcPr>
            <w:tcW w:type="dxa" w:w="3000"/>
            <w:tcBorders>
              <w:top w:val="single" w:color="3D85C6" w:sz="1"/>
              <w:left w:val="single" w:color="3D85C6" w:sz="1"/>
              <w:bottom w:val="single" w:color="3D85C6" w:sz="1"/>
              <w:right w:val="single" w:color="3D85C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Mínimo</w:t>
            </w:r>
          </w:p>
        </w:tc>
        <w:tc>
          <w:tcPr>
            <w:tcW w:type="dxa" w:w="3026"/>
            <w:tcBorders>
              <w:top w:val="single" w:color="3D85C6" w:sz="1"/>
              <w:left w:val="single" w:color="3D85C6" w:sz="1"/>
              <w:bottom w:val="single" w:color="3D85C6" w:sz="1"/>
              <w:right w:val="single" w:color="3D85C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Recomendado</w:t>
            </w:r>
          </w:p>
        </w:tc>
      </w:tr>
      <w:tr>
        <w:tc>
          <w:tcPr>
            <w:tcW w:type="dxa" w:w="3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CPU</w:t>
            </w:r>
          </w:p>
        </w:tc>
        <w:tc>
          <w:tcPr>
            <w:tcW w:type="dxa" w:w="3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 núcleos</w:t>
            </w:r>
          </w:p>
        </w:tc>
        <w:tc>
          <w:tcPr>
            <w:tcW w:type="dxa" w:w="302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4 núcleos</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Memoria RAM</w:t>
            </w:r>
          </w:p>
        </w:tc>
        <w:tc>
          <w:tcPr>
            <w:tcW w:type="dxa" w:w="30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4 GB</w:t>
            </w:r>
          </w:p>
        </w:tc>
        <w:tc>
          <w:tcPr>
            <w:tcW w:type="dxa" w:w="3026"/>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8 GB</w:t>
            </w:r>
          </w:p>
        </w:tc>
      </w:tr>
      <w:tr>
        <w:tc>
          <w:tcPr>
            <w:tcW w:type="dxa" w:w="3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Almacenamiento</w:t>
            </w:r>
          </w:p>
        </w:tc>
        <w:tc>
          <w:tcPr>
            <w:tcW w:type="dxa" w:w="3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20 GB libres</w:t>
            </w:r>
          </w:p>
        </w:tc>
        <w:tc>
          <w:tcPr>
            <w:tcW w:type="dxa" w:w="302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50 GB libres</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Sistema operativo</w:t>
            </w:r>
          </w:p>
        </w:tc>
        <w:tc>
          <w:tcPr>
            <w:tcW w:type="dxa" w:w="30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Windows 10 / macOS 12 / Linux</w:t>
            </w:r>
          </w:p>
        </w:tc>
        <w:tc>
          <w:tcPr>
            <w:tcW w:type="dxa" w:w="3026"/>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Linux Ubuntu 22.04+</w:t>
            </w:r>
          </w:p>
        </w:tc>
      </w:tr>
      <w:tr>
        <w:tc>
          <w:tcPr>
            <w:tcW w:type="dxa" w:w="3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Docker Desktop / Engine</w:t>
            </w:r>
          </w:p>
        </w:tc>
        <w:tc>
          <w:tcPr>
            <w:tcW w:type="dxa" w:w="3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v24+</w:t>
            </w:r>
          </w:p>
        </w:tc>
        <w:tc>
          <w:tcPr>
            <w:tcW w:type="dxa" w:w="302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Última versión estable</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Docker Compose</w:t>
            </w:r>
          </w:p>
        </w:tc>
        <w:tc>
          <w:tcPr>
            <w:tcW w:type="dxa" w:w="30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v2.20+</w:t>
            </w:r>
          </w:p>
        </w:tc>
        <w:tc>
          <w:tcPr>
            <w:tcW w:type="dxa" w:w="3026"/>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Última versión estable</w:t>
            </w:r>
          </w:p>
        </w:tc>
      </w:tr>
      <w:tr>
        <w:tc>
          <w:tcPr>
            <w:tcW w:type="dxa" w:w="3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Python</w:t>
            </w:r>
          </w:p>
        </w:tc>
        <w:tc>
          <w:tcPr>
            <w:tcW w:type="dxa" w:w="3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3.9+</w:t>
            </w:r>
          </w:p>
        </w:tc>
        <w:tc>
          <w:tcPr>
            <w:tcW w:type="dxa" w:w="302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3.11+</w:t>
            </w:r>
          </w:p>
        </w:tc>
      </w:tr>
    </w:tbl>
    <w:p>
      <w:pPr>
        <w:spacing w:after="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6"/>
          <w:szCs w:val="26"/>
        </w:rPr>
        <w:t xml:space="preserve">5.2. Dependencias del script de migración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3D85C6" w:sz="1"/>
              <w:left w:val="single" w:color="3D85C6" w:sz="1"/>
              <w:bottom w:val="single" w:color="3D85C6" w:sz="1"/>
              <w:right w:val="single" w:color="3D85C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Biblioteca Python</w:t>
            </w:r>
          </w:p>
        </w:tc>
        <w:tc>
          <w:tcPr>
            <w:tcW w:type="dxa" w:w="2000"/>
            <w:tcBorders>
              <w:top w:val="single" w:color="3D85C6" w:sz="1"/>
              <w:left w:val="single" w:color="3D85C6" w:sz="1"/>
              <w:bottom w:val="single" w:color="3D85C6" w:sz="1"/>
              <w:right w:val="single" w:color="3D85C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Versión mínima</w:t>
            </w:r>
          </w:p>
        </w:tc>
        <w:tc>
          <w:tcPr>
            <w:tcW w:type="dxa" w:w="4526"/>
            <w:tcBorders>
              <w:top w:val="single" w:color="3D85C6" w:sz="1"/>
              <w:left w:val="single" w:color="3D85C6" w:sz="1"/>
              <w:bottom w:val="single" w:color="3D85C6" w:sz="1"/>
              <w:right w:val="single" w:color="3D85C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Uso</w:t>
            </w:r>
          </w:p>
        </w:tc>
      </w:tr>
      <w:tr>
        <w:tc>
          <w:tcPr>
            <w:tcW w:type="dxa" w:w="25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requests</w:t>
            </w:r>
          </w:p>
        </w:tc>
        <w:tc>
          <w:tcPr>
            <w:tcW w:type="dxa" w:w="2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2.28+</w:t>
            </w:r>
          </w:p>
        </w:tc>
        <w:tc>
          <w:tcPr>
            <w:tcW w:type="dxa" w:w="452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Llamadas a la API REST de NetBox.</w:t>
            </w:r>
          </w:p>
        </w:tc>
      </w:tr>
      <w:tr>
        <w:tc>
          <w:tcPr>
            <w:tcW w:type="dxa" w:w="25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pandas</w:t>
            </w:r>
          </w:p>
        </w:tc>
        <w:tc>
          <w:tcPr>
            <w:tcW w:type="dxa" w:w="20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1.5+</w:t>
            </w:r>
          </w:p>
        </w:tc>
        <w:tc>
          <w:tcPr>
            <w:tcW w:type="dxa" w:w="4526"/>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Lectura, limpieza y transformación de los CSV.</w:t>
            </w:r>
          </w:p>
        </w:tc>
      </w:tr>
      <w:tr>
        <w:tc>
          <w:tcPr>
            <w:tcW w:type="dxa" w:w="25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tqdm</w:t>
            </w:r>
          </w:p>
        </w:tc>
        <w:tc>
          <w:tcPr>
            <w:tcW w:type="dxa" w:w="2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4.0+</w:t>
            </w:r>
          </w:p>
        </w:tc>
        <w:tc>
          <w:tcPr>
            <w:tcW w:type="dxa" w:w="452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Barra de progreso durante la importación.</w:t>
            </w:r>
          </w:p>
        </w:tc>
      </w:tr>
      <w:tr>
        <w:tc>
          <w:tcPr>
            <w:tcW w:type="dxa" w:w="25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logging</w:t>
            </w:r>
          </w:p>
        </w:tc>
        <w:tc>
          <w:tcPr>
            <w:tcW w:type="dxa" w:w="20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Stdlib</w:t>
            </w:r>
          </w:p>
        </w:tc>
        <w:tc>
          <w:tcPr>
            <w:tcW w:type="dxa" w:w="4526"/>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Registro de eventos y errores en fichero de log.</w:t>
            </w:r>
          </w:p>
        </w:tc>
      </w:tr>
    </w:tbl>
    <w:p>
      <w:pPr>
        <w:spacing w:after="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6"/>
          <w:szCs w:val="26"/>
        </w:rPr>
        <w:t xml:space="preserve">5.3. Accesos necesarios</w:t>
      </w:r>
    </w:p>
    <w:p>
      <w:pPr>
        <w:pStyle w:val="ListParagraph"/>
        <w:numPr>
          <w:ilvl w:val="0"/>
          <w:numId w:val="2"/>
        </w:numPr>
        <w:spacing w:after="60" w:before="60"/>
      </w:pPr>
      <w:r>
        <w:rPr>
          <w:rFonts w:ascii="Arial" w:cs="Arial" w:eastAsia="Arial" w:hAnsi="Arial"/>
          <w:b/>
          <w:bCs/>
          <w:color w:val="000000"/>
          <w:sz w:val="22"/>
          <w:szCs w:val="22"/>
        </w:rPr>
        <w:t xml:space="preserve">CMDBuild: </w:t>
      </w:r>
      <w:r>
        <w:rPr>
          <w:rFonts w:ascii="Arial" w:cs="Arial" w:eastAsia="Arial" w:hAnsi="Arial"/>
          <w:b w:val="false"/>
          <w:bCs w:val="false"/>
          <w:color w:val="000000"/>
          <w:sz w:val="22"/>
          <w:szCs w:val="22"/>
        </w:rPr>
        <w:t xml:space="preserve">Acceso a la interfaz web con permisos de exportación CSV sobre las clases Servicios TI y Aplicaciones (ya obtenidos — CSV disponibles).</w:t>
      </w:r>
    </w:p>
    <w:p>
      <w:pPr>
        <w:pStyle w:val="ListParagraph"/>
        <w:numPr>
          <w:ilvl w:val="0"/>
          <w:numId w:val="2"/>
        </w:numPr>
        <w:spacing w:after="60" w:before="60"/>
      </w:pPr>
      <w:r>
        <w:rPr>
          <w:rFonts w:ascii="Arial" w:cs="Arial" w:eastAsia="Arial" w:hAnsi="Arial"/>
          <w:b/>
          <w:bCs/>
          <w:color w:val="000000"/>
          <w:sz w:val="22"/>
          <w:szCs w:val="22"/>
        </w:rPr>
        <w:t xml:space="preserve">NetBox: </w:t>
      </w:r>
      <w:r>
        <w:rPr>
          <w:rFonts w:ascii="Arial" w:cs="Arial" w:eastAsia="Arial" w:hAnsi="Arial"/>
          <w:b w:val="false"/>
          <w:bCs w:val="false"/>
          <w:color w:val="000000"/>
          <w:sz w:val="22"/>
          <w:szCs w:val="22"/>
        </w:rPr>
        <w:t xml:space="preserve">Token de API con permisos de escritura (creación de VMs, Custom Fields, Tags, Sites, Tenants e IP Addresses).</w:t>
      </w:r>
    </w:p>
    <w:p>
      <w:pPr>
        <w:pStyle w:val="ListParagraph"/>
        <w:numPr>
          <w:ilvl w:val="0"/>
          <w:numId w:val="2"/>
        </w:numPr>
        <w:spacing w:after="60" w:before="60"/>
      </w:pPr>
      <w:r>
        <w:rPr>
          <w:rFonts w:ascii="Arial" w:cs="Arial" w:eastAsia="Arial" w:hAnsi="Arial"/>
          <w:b/>
          <w:bCs/>
          <w:color w:val="000000"/>
          <w:sz w:val="22"/>
          <w:szCs w:val="22"/>
        </w:rPr>
        <w:t xml:space="preserve">Red: </w:t>
      </w:r>
      <w:r>
        <w:rPr>
          <w:rFonts w:ascii="Arial" w:cs="Arial" w:eastAsia="Arial" w:hAnsi="Arial"/>
          <w:b w:val="false"/>
          <w:bCs w:val="false"/>
          <w:color w:val="000000"/>
          <w:sz w:val="22"/>
          <w:szCs w:val="22"/>
        </w:rPr>
        <w:t xml:space="preserve">Conectividad desde el equipo donde se ejecute el script hacia el puerto 8000 de la instancia NetBox Docker.</w:t>
      </w:r>
    </w:p>
    <w:p>
      <w:pPr>
        <w:spacing w:after="0" w:before="80"/>
      </w:pPr>
      <w:r>
        <w:rPr>
          <w:rFonts w:ascii="Arial" w:cs="Arial" w:eastAsia="Arial" w:hAnsi="Arial"/>
          <w:sz w:val="22"/>
          <w:szCs w:val="22"/>
        </w:rPr>
        <w:t xml:space="preserve"/>
      </w:r>
    </w:p>
    <w:p>
      <w:pPr>
        <w:pStyle w:val="Heading1"/>
        <w:spacing w:after="160" w:before="400"/>
      </w:pPr>
      <w:r>
        <w:rPr>
          <w:rFonts w:ascii="Arial" w:cs="Arial" w:eastAsia="Arial" w:hAnsi="Arial"/>
          <w:b/>
          <w:bCs/>
          <w:color w:val="1F4E79"/>
          <w:sz w:val="32"/>
          <w:szCs w:val="32"/>
        </w:rPr>
        <w:t xml:space="preserve">6. Análisis de Riesgos</w:t>
      </w:r>
    </w:p>
    <w:p>
      <w:pPr>
        <w:spacing w:after="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1100"/>
        <w:gridCol w:w="3826"/>
      </w:tblGrid>
      <w:tr>
        <w:tc>
          <w:tcPr>
            <w:tcW w:type="dxa" w:w="3000"/>
            <w:tcBorders>
              <w:top w:val="single" w:color="3D85C6" w:sz="1"/>
              <w:left w:val="single" w:color="3D85C6" w:sz="1"/>
              <w:bottom w:val="single" w:color="3D85C6" w:sz="1"/>
              <w:right w:val="single" w:color="3D85C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Riesgo</w:t>
            </w:r>
          </w:p>
        </w:tc>
        <w:tc>
          <w:tcPr>
            <w:tcW w:type="dxa" w:w="1100"/>
            <w:tcBorders>
              <w:top w:val="single" w:color="3D85C6" w:sz="1"/>
              <w:left w:val="single" w:color="3D85C6" w:sz="1"/>
              <w:bottom w:val="single" w:color="3D85C6" w:sz="1"/>
              <w:right w:val="single" w:color="3D85C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Probabilidad</w:t>
            </w:r>
          </w:p>
        </w:tc>
        <w:tc>
          <w:tcPr>
            <w:tcW w:type="dxa" w:w="1100"/>
            <w:tcBorders>
              <w:top w:val="single" w:color="3D85C6" w:sz="1"/>
              <w:left w:val="single" w:color="3D85C6" w:sz="1"/>
              <w:bottom w:val="single" w:color="3D85C6" w:sz="1"/>
              <w:right w:val="single" w:color="3D85C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Impacto</w:t>
            </w:r>
          </w:p>
        </w:tc>
        <w:tc>
          <w:tcPr>
            <w:tcW w:type="dxa" w:w="3826"/>
            <w:tcBorders>
              <w:top w:val="single" w:color="3D85C6" w:sz="1"/>
              <w:left w:val="single" w:color="3D85C6" w:sz="1"/>
              <w:bottom w:val="single" w:color="3D85C6" w:sz="1"/>
              <w:right w:val="single" w:color="3D85C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Mitigación</w:t>
            </w:r>
          </w:p>
        </w:tc>
      </w:tr>
      <w:tr>
        <w:tc>
          <w:tcPr>
            <w:tcW w:type="dxa" w:w="3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IPs con formato no estándar en Servicios TI (rangos, múltiples IPs por campo).</w:t>
            </w:r>
          </w:p>
        </w:tc>
        <w:tc>
          <w:tcPr>
            <w:tcW w:type="dxa" w:w="11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Alta</w:t>
            </w:r>
          </w:p>
        </w:tc>
        <w:tc>
          <w:tcPr>
            <w:tcW w:type="dxa" w:w="11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Medio</w:t>
            </w:r>
          </w:p>
        </w:tc>
        <w:tc>
          <w:tcPr>
            <w:tcW w:type="dxa" w:w="382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El script normalizará y dividirá los campos de IP antes de crearlas en NetBox.</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Pérdida de relaciones entre objetos al migrar a un modelo plano.</w:t>
            </w:r>
          </w:p>
        </w:tc>
        <w:tc>
          <w:tcPr>
            <w:tcW w:type="dxa" w:w="11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Media</w:t>
            </w:r>
          </w:p>
        </w:tc>
        <w:tc>
          <w:tcPr>
            <w:tcW w:type="dxa" w:w="11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Alto</w:t>
            </w:r>
          </w:p>
        </w:tc>
        <w:tc>
          <w:tcPr>
            <w:tcW w:type="dxa" w:w="3826"/>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Uso de Custom Fields relacionales (cf_bbdd) y tags cruzados para preservar vínculos.</w:t>
            </w:r>
          </w:p>
        </w:tc>
      </w:tr>
      <w:tr>
        <w:tc>
          <w:tcPr>
            <w:tcW w:type="dxa" w:w="3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Registros duplicados si la migración se ejecuta más de una vez.</w:t>
            </w:r>
          </w:p>
        </w:tc>
        <w:tc>
          <w:tcPr>
            <w:tcW w:type="dxa" w:w="11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Media</w:t>
            </w:r>
          </w:p>
        </w:tc>
        <w:tc>
          <w:tcPr>
            <w:tcW w:type="dxa" w:w="11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Medio</w:t>
            </w:r>
          </w:p>
        </w:tc>
        <w:tc>
          <w:tcPr>
            <w:tcW w:type="dxa" w:w="382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El script incluye deduplicación por nombre + site antes de crear cada objeto.</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Campos de ESPACIO ALM/BCK y DISCO con unidades no homogéneas (ej: '5000.000 ' con espacios).</w:t>
            </w:r>
          </w:p>
        </w:tc>
        <w:tc>
          <w:tcPr>
            <w:tcW w:type="dxa" w:w="11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Alta</w:t>
            </w:r>
          </w:p>
        </w:tc>
        <w:tc>
          <w:tcPr>
            <w:tcW w:type="dxa" w:w="11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Bajo</w:t>
            </w:r>
          </w:p>
        </w:tc>
        <w:tc>
          <w:tcPr>
            <w:tcW w:type="dxa" w:w="3826"/>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Normalización y limpieza de espacios y unidades en la fase de transformación del script.</w:t>
            </w:r>
          </w:p>
        </w:tc>
      </w:tr>
      <w:tr>
        <w:tc>
          <w:tcPr>
            <w:tcW w:type="dxa" w:w="3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API de NetBox v4.1 con cambios en endpoints respecto a versiones anteriores.</w:t>
            </w:r>
          </w:p>
        </w:tc>
        <w:tc>
          <w:tcPr>
            <w:tcW w:type="dxa" w:w="11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Baja</w:t>
            </w:r>
          </w:p>
        </w:tc>
        <w:tc>
          <w:tcPr>
            <w:tcW w:type="dxa" w:w="11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Medio</w:t>
            </w:r>
          </w:p>
        </w:tc>
        <w:tc>
          <w:tcPr>
            <w:tcW w:type="dxa" w:w="382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Versión Docker fijada a v4.1. Se validarán endpoints en Fase 3 contra /api/docs/ de la instancia.</w:t>
            </w:r>
          </w:p>
        </w:tc>
      </w:tr>
      <w:tr>
        <w:tc>
          <w:tcPr>
            <w:tcW w:type="dxa" w:w="3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Necesidad de rollback: NetBox no es operativo tras la migración.</w:t>
            </w:r>
          </w:p>
        </w:tc>
        <w:tc>
          <w:tcPr>
            <w:tcW w:type="dxa" w:w="11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Baja</w:t>
            </w:r>
          </w:p>
        </w:tc>
        <w:tc>
          <w:tcPr>
            <w:tcW w:type="dxa" w:w="11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Alto</w:t>
            </w:r>
          </w:p>
        </w:tc>
        <w:tc>
          <w:tcPr>
            <w:tcW w:type="dxa" w:w="3826"/>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CMDBuild permanece operativo en modo lectura durante 30 días. No se desactiva hasta validación completa.</w:t>
            </w:r>
          </w:p>
        </w:tc>
      </w:tr>
    </w:tbl>
    <w:p>
      <w:pPr>
        <w:spacing w:after="0" w:before="80"/>
      </w:pPr>
      <w:r>
        <w:rPr>
          <w:rFonts w:ascii="Arial" w:cs="Arial" w:eastAsia="Arial" w:hAnsi="Arial"/>
          <w:sz w:val="22"/>
          <w:szCs w:val="22"/>
        </w:rPr>
        <w:t xml:space="preserve"/>
      </w:r>
    </w:p>
    <w:p>
      <w:pPr>
        <w:pStyle w:val="Heading1"/>
        <w:spacing w:after="160" w:before="400"/>
      </w:pPr>
      <w:r>
        <w:rPr>
          <w:rFonts w:ascii="Arial" w:cs="Arial" w:eastAsia="Arial" w:hAnsi="Arial"/>
          <w:b/>
          <w:bCs/>
          <w:color w:val="1F4E79"/>
          <w:sz w:val="32"/>
          <w:szCs w:val="32"/>
        </w:rPr>
        <w:t xml:space="preserve">7. Criterios de Aceptación</w:t>
      </w:r>
    </w:p>
    <w:p>
      <w:pPr>
        <w:spacing w:after="80" w:before="80"/>
      </w:pPr>
      <w:r>
        <w:rPr>
          <w:rFonts w:ascii="Arial" w:cs="Arial" w:eastAsia="Arial" w:hAnsi="Arial"/>
          <w:color w:val="000000"/>
          <w:sz w:val="22"/>
          <w:szCs w:val="22"/>
        </w:rPr>
        <w:t xml:space="preserve">La migración se considerará exitosa cuando se cumplan todos los criterios siguientes:</w:t>
      </w:r>
    </w:p>
    <w:p>
      <w:pPr>
        <w:spacing w:after="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026"/>
        <w:gridCol w:w="2000"/>
      </w:tblGrid>
      <w:tr>
        <w:tc>
          <w:tcPr>
            <w:tcW w:type="dxa" w:w="2000"/>
            <w:tcBorders>
              <w:top w:val="single" w:color="3D85C6" w:sz="1"/>
              <w:left w:val="single" w:color="3D85C6" w:sz="1"/>
              <w:bottom w:val="single" w:color="3D85C6" w:sz="1"/>
              <w:right w:val="single" w:color="3D85C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Criterio</w:t>
            </w:r>
          </w:p>
        </w:tc>
        <w:tc>
          <w:tcPr>
            <w:tcW w:type="dxa" w:w="5026"/>
            <w:tcBorders>
              <w:top w:val="single" w:color="3D85C6" w:sz="1"/>
              <w:left w:val="single" w:color="3D85C6" w:sz="1"/>
              <w:bottom w:val="single" w:color="3D85C6" w:sz="1"/>
              <w:right w:val="single" w:color="3D85C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c>
          <w:tcPr>
            <w:tcW w:type="dxa" w:w="2000"/>
            <w:tcBorders>
              <w:top w:val="single" w:color="3D85C6" w:sz="1"/>
              <w:left w:val="single" w:color="3D85C6" w:sz="1"/>
              <w:bottom w:val="single" w:color="3D85C6" w:sz="1"/>
              <w:right w:val="single" w:color="3D85C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Verificación</w:t>
            </w:r>
          </w:p>
        </w:tc>
      </w:tr>
      <w:tr>
        <w:tc>
          <w:tcPr>
            <w:tcW w:type="dxa" w:w="2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Completitud</w:t>
            </w:r>
          </w:p>
        </w:tc>
        <w:tc>
          <w:tcPr>
            <w:tcW w:type="dxa" w:w="502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176 registros presentes en NetBox (77 Aplicaciones + 99 Servicios TI).</w:t>
            </w:r>
          </w:p>
        </w:tc>
        <w:tc>
          <w:tcPr>
            <w:tcW w:type="dxa" w:w="2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Conteo vía API: GET /api/virtualization/virtual-machines/?limit=0</w:t>
            </w:r>
          </w:p>
        </w:tc>
      </w:tr>
      <w:tr>
        <w:tc>
          <w:tcPr>
            <w:tcW w:type="dxa" w:w="2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Integridad</w:t>
            </w:r>
          </w:p>
        </w:tc>
        <w:tc>
          <w:tcPr>
            <w:tcW w:type="dxa" w:w="5026"/>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Muestreo del 10% (≥8 Aplicaciones y ≥10 Servicios TI) sin discrepancias en campos mapeados.</w:t>
            </w:r>
          </w:p>
        </w:tc>
        <w:tc>
          <w:tcPr>
            <w:tcW w:type="dxa" w:w="2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Revisión manual + comparación con CSV origen</w:t>
            </w:r>
          </w:p>
        </w:tc>
      </w:tr>
      <w:tr>
        <w:tc>
          <w:tcPr>
            <w:tcW w:type="dxa" w:w="2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Trazabilidad</w:t>
            </w:r>
          </w:p>
        </w:tc>
        <w:tc>
          <w:tcPr>
            <w:tcW w:type="dxa" w:w="502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Fichero de log con estado (éxito/omitido/error) por cada uno de los 176 registros.</w:t>
            </w:r>
          </w:p>
        </w:tc>
        <w:tc>
          <w:tcPr>
            <w:tcW w:type="dxa" w:w="2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Revisión del fichero migration.log</w:t>
            </w:r>
          </w:p>
        </w:tc>
      </w:tr>
      <w:tr>
        <w:tc>
          <w:tcPr>
            <w:tcW w:type="dxa" w:w="2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Operatividad</w:t>
            </w:r>
          </w:p>
        </w:tc>
        <w:tc>
          <w:tcPr>
            <w:tcW w:type="dxa" w:w="5026"/>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NetBox accesible por los usuarios designados con los datos importados y navegables.</w:t>
            </w:r>
          </w:p>
        </w:tc>
        <w:tc>
          <w:tcPr>
            <w:tcW w:type="dxa" w:w="2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Acceso a http://[IP]:8000 por los responsables funcionales</w:t>
            </w:r>
          </w:p>
        </w:tc>
      </w:tr>
      <w:tr>
        <w:tc>
          <w:tcPr>
            <w:tcW w:type="dxa" w:w="2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Custom Fields</w:t>
            </w:r>
          </w:p>
        </w:tc>
        <w:tc>
          <w:tcPr>
            <w:tcW w:type="dxa" w:w="502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Todos los campos sin equivalente nativo visibles y con datos en NetBox.</w:t>
            </w:r>
          </w:p>
        </w:tc>
        <w:tc>
          <w:tcPr>
            <w:tcW w:type="dxa" w:w="2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Revisión de la sección Customization → Custom Fields en NetBox</w:t>
            </w:r>
          </w:p>
        </w:tc>
      </w:tr>
      <w:tr>
        <w:tc>
          <w:tcPr>
            <w:tcW w:type="dxa" w:w="2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Documentación</w:t>
            </w:r>
          </w:p>
        </w:tc>
        <w:tc>
          <w:tcPr>
            <w:tcW w:type="dxa" w:w="5026"/>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Entrega del script comentado, mapeo definitivo, log de ejecución y acta de validación firmada.</w:t>
            </w:r>
          </w:p>
        </w:tc>
        <w:tc>
          <w:tcPr>
            <w:tcW w:type="dxa" w:w="2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Checklist de entregables (sección 8)</w:t>
            </w:r>
          </w:p>
        </w:tc>
      </w:tr>
    </w:tbl>
    <w:p>
      <w:pPr>
        <w:spacing w:after="0" w:before="80"/>
      </w:pPr>
      <w:r>
        <w:rPr>
          <w:rFonts w:ascii="Arial" w:cs="Arial" w:eastAsia="Arial" w:hAnsi="Arial"/>
          <w:sz w:val="22"/>
          <w:szCs w:val="22"/>
        </w:rPr>
        <w:t xml:space="preserve"/>
      </w:r>
    </w:p>
    <w:p>
      <w:pPr>
        <w:pStyle w:val="Heading1"/>
        <w:spacing w:after="160" w:before="400"/>
      </w:pPr>
      <w:r>
        <w:rPr>
          <w:rFonts w:ascii="Arial" w:cs="Arial" w:eastAsia="Arial" w:hAnsi="Arial"/>
          <w:b/>
          <w:bCs/>
          <w:color w:val="1F4E79"/>
          <w:sz w:val="32"/>
          <w:szCs w:val="32"/>
        </w:rPr>
        <w:t xml:space="preserve">8. Entregables</w:t>
      </w:r>
    </w:p>
    <w:p>
      <w:pPr>
        <w:spacing w:after="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5026"/>
        <w:gridCol w:w="2000"/>
        <w:gridCol w:w="1500"/>
      </w:tblGrid>
      <w:tr>
        <w:tc>
          <w:tcPr>
            <w:tcW w:type="dxa" w:w="500"/>
            <w:tcBorders>
              <w:top w:val="single" w:color="3D85C6" w:sz="1"/>
              <w:left w:val="single" w:color="3D85C6" w:sz="1"/>
              <w:bottom w:val="single" w:color="3D85C6" w:sz="1"/>
              <w:right w:val="single" w:color="3D85C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N.º</w:t>
            </w:r>
          </w:p>
        </w:tc>
        <w:tc>
          <w:tcPr>
            <w:tcW w:type="dxa" w:w="5026"/>
            <w:tcBorders>
              <w:top w:val="single" w:color="3D85C6" w:sz="1"/>
              <w:left w:val="single" w:color="3D85C6" w:sz="1"/>
              <w:bottom w:val="single" w:color="3D85C6" w:sz="1"/>
              <w:right w:val="single" w:color="3D85C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Entregable</w:t>
            </w:r>
          </w:p>
        </w:tc>
        <w:tc>
          <w:tcPr>
            <w:tcW w:type="dxa" w:w="2000"/>
            <w:tcBorders>
              <w:top w:val="single" w:color="3D85C6" w:sz="1"/>
              <w:left w:val="single" w:color="3D85C6" w:sz="1"/>
              <w:bottom w:val="single" w:color="3D85C6" w:sz="1"/>
              <w:right w:val="single" w:color="3D85C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Formato</w:t>
            </w:r>
          </w:p>
        </w:tc>
        <w:tc>
          <w:tcPr>
            <w:tcW w:type="dxa" w:w="1500"/>
            <w:tcBorders>
              <w:top w:val="single" w:color="3D85C6" w:sz="1"/>
              <w:left w:val="single" w:color="3D85C6" w:sz="1"/>
              <w:bottom w:val="single" w:color="3D85C6" w:sz="1"/>
              <w:right w:val="single" w:color="3D85C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Fase</w:t>
            </w:r>
          </w:p>
        </w:tc>
      </w:tr>
      <w:tr>
        <w:tc>
          <w:tcPr>
            <w:tcW w:type="dxa" w:w="5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1</w:t>
            </w:r>
          </w:p>
        </w:tc>
        <w:tc>
          <w:tcPr>
            <w:tcW w:type="dxa" w:w="502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Esta propuesta técnica de migración (v1.1)</w:t>
            </w:r>
          </w:p>
        </w:tc>
        <w:tc>
          <w:tcPr>
            <w:tcW w:type="dxa" w:w="2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Documento Word (.docx)</w:t>
            </w:r>
          </w:p>
        </w:tc>
        <w:tc>
          <w:tcPr>
            <w:tcW w:type="dxa" w:w="15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Previa</w:t>
            </w:r>
          </w:p>
        </w:tc>
      </w:tr>
      <w:tr>
        <w:tc>
          <w:tcPr>
            <w:tcW w:type="dxa" w:w="5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2</w:t>
            </w:r>
          </w:p>
        </w:tc>
        <w:tc>
          <w:tcPr>
            <w:tcW w:type="dxa" w:w="5026"/>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Mapeo de campos definitivo CMDBuild → NetBox</w:t>
            </w:r>
          </w:p>
        </w:tc>
        <w:tc>
          <w:tcPr>
            <w:tcW w:type="dxa" w:w="2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Hoja de cálculo (.xlsx)</w:t>
            </w:r>
          </w:p>
        </w:tc>
        <w:tc>
          <w:tcPr>
            <w:tcW w:type="dxa" w:w="15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Fase 2</w:t>
            </w:r>
          </w:p>
        </w:tc>
      </w:tr>
      <w:tr>
        <w:tc>
          <w:tcPr>
            <w:tcW w:type="dxa" w:w="5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3</w:t>
            </w:r>
          </w:p>
        </w:tc>
        <w:tc>
          <w:tcPr>
            <w:tcW w:type="dxa" w:w="502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Script de migración Python con comentarios</w:t>
            </w:r>
          </w:p>
        </w:tc>
        <w:tc>
          <w:tcPr>
            <w:tcW w:type="dxa" w:w="2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Fichero .py + README.md</w:t>
            </w:r>
          </w:p>
        </w:tc>
        <w:tc>
          <w:tcPr>
            <w:tcW w:type="dxa" w:w="15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Fase 3</w:t>
            </w:r>
          </w:p>
        </w:tc>
      </w:tr>
      <w:tr>
        <w:tc>
          <w:tcPr>
            <w:tcW w:type="dxa" w:w="5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4</w:t>
            </w:r>
          </w:p>
        </w:tc>
        <w:tc>
          <w:tcPr>
            <w:tcW w:type="dxa" w:w="5026"/>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Log de ejecución de la migración</w:t>
            </w:r>
          </w:p>
        </w:tc>
        <w:tc>
          <w:tcPr>
            <w:tcW w:type="dxa" w:w="2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Fichero .log</w:t>
            </w:r>
          </w:p>
        </w:tc>
        <w:tc>
          <w:tcPr>
            <w:tcW w:type="dxa" w:w="15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Fase 4</w:t>
            </w:r>
          </w:p>
        </w:tc>
      </w:tr>
      <w:tr>
        <w:tc>
          <w:tcPr>
            <w:tcW w:type="dxa" w:w="5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5</w:t>
            </w:r>
          </w:p>
        </w:tc>
        <w:tc>
          <w:tcPr>
            <w:tcW w:type="dxa" w:w="502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Acta de validación y aceptación firmada</w:t>
            </w:r>
          </w:p>
        </w:tc>
        <w:tc>
          <w:tcPr>
            <w:tcW w:type="dxa" w:w="2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Documento Word (.docx)</w:t>
            </w:r>
          </w:p>
        </w:tc>
        <w:tc>
          <w:tcPr>
            <w:tcW w:type="dxa" w:w="15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Fase 5</w:t>
            </w:r>
          </w:p>
        </w:tc>
      </w:tr>
      <w:tr>
        <w:tc>
          <w:tcPr>
            <w:tcW w:type="dxa" w:w="5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6</w:t>
            </w:r>
          </w:p>
        </w:tc>
        <w:tc>
          <w:tcPr>
            <w:tcW w:type="dxa" w:w="5026"/>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docker-compose.yml configurado para producción</w:t>
            </w:r>
          </w:p>
        </w:tc>
        <w:tc>
          <w:tcPr>
            <w:tcW w:type="dxa" w:w="2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Fichero YAML</w:t>
            </w:r>
          </w:p>
        </w:tc>
        <w:tc>
          <w:tcPr>
            <w:tcW w:type="dxa" w:w="15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Fase 6</w:t>
            </w:r>
          </w:p>
        </w:tc>
      </w:tr>
    </w:tbl>
    <w:p>
      <w:pPr>
        <w:spacing w:after="0" w:before="80"/>
      </w:pPr>
      <w:r>
        <w:rPr>
          <w:rFonts w:ascii="Arial" w:cs="Arial" w:eastAsia="Arial" w:hAnsi="Arial"/>
          <w:sz w:val="22"/>
          <w:szCs w:val="22"/>
        </w:rPr>
        <w:t xml:space="preserve"/>
      </w:r>
    </w:p>
    <w:p>
      <w:pPr>
        <w:pStyle w:val="Heading1"/>
        <w:spacing w:after="160" w:before="400"/>
      </w:pPr>
      <w:r>
        <w:rPr>
          <w:rFonts w:ascii="Arial" w:cs="Arial" w:eastAsia="Arial" w:hAnsi="Arial"/>
          <w:b/>
          <w:bCs/>
          <w:color w:val="1F4E79"/>
          <w:sz w:val="32"/>
          <w:szCs w:val="32"/>
        </w:rPr>
        <w:t xml:space="preserve">9. Supuestos y Exclusiones</w:t>
      </w:r>
    </w:p>
    <w:p>
      <w:pPr>
        <w:pStyle w:val="Heading2"/>
        <w:spacing w:after="120" w:before="280"/>
      </w:pPr>
      <w:r>
        <w:rPr>
          <w:rFonts w:ascii="Arial" w:cs="Arial" w:eastAsia="Arial" w:hAnsi="Arial"/>
          <w:b/>
          <w:bCs/>
          <w:color w:val="2E75B6"/>
          <w:sz w:val="26"/>
          <w:szCs w:val="26"/>
        </w:rPr>
        <w:t xml:space="preserve">9.1. Supuestos</w:t>
      </w:r>
    </w:p>
    <w:p>
      <w:pPr>
        <w:pStyle w:val="ListParagraph"/>
        <w:numPr>
          <w:ilvl w:val="0"/>
          <w:numId w:val="2"/>
        </w:numPr>
        <w:spacing w:after="60" w:before="60"/>
      </w:pPr>
      <w:r>
        <w:rPr>
          <w:rFonts w:ascii="Arial" w:cs="Arial" w:eastAsia="Arial" w:hAnsi="Arial"/>
          <w:color w:val="000000"/>
          <w:sz w:val="22"/>
          <w:szCs w:val="22"/>
        </w:rPr>
        <w:t xml:space="preserve">Se dispone de los CSV exportados de CMDBuild (disponibles: 77 registros de Aplicaciones y 99 de Servicios TI).</w:t>
      </w:r>
    </w:p>
    <w:p>
      <w:pPr>
        <w:pStyle w:val="ListParagraph"/>
        <w:numPr>
          <w:ilvl w:val="0"/>
          <w:numId w:val="2"/>
        </w:numPr>
        <w:spacing w:after="60" w:before="60"/>
      </w:pPr>
      <w:r>
        <w:rPr>
          <w:rFonts w:ascii="Arial" w:cs="Arial" w:eastAsia="Arial" w:hAnsi="Arial"/>
          <w:color w:val="000000"/>
          <w:sz w:val="22"/>
          <w:szCs w:val="22"/>
        </w:rPr>
        <w:t xml:space="preserve">El equipo de ejecución tiene permisos de administrador local para instalar Docker Desktop y Python.</w:t>
      </w:r>
    </w:p>
    <w:p>
      <w:pPr>
        <w:pStyle w:val="ListParagraph"/>
        <w:numPr>
          <w:ilvl w:val="0"/>
          <w:numId w:val="2"/>
        </w:numPr>
        <w:spacing w:after="60" w:before="60"/>
      </w:pPr>
      <w:r>
        <w:rPr>
          <w:rFonts w:ascii="Arial" w:cs="Arial" w:eastAsia="Arial" w:hAnsi="Arial"/>
          <w:color w:val="000000"/>
          <w:sz w:val="22"/>
          <w:szCs w:val="22"/>
        </w:rPr>
        <w:t xml:space="preserve">Los datos de CMDBuild reflejan el estado actual y correcto del inventario en el momento de la exportación.</w:t>
      </w:r>
    </w:p>
    <w:p>
      <w:pPr>
        <w:pStyle w:val="ListParagraph"/>
        <w:numPr>
          <w:ilvl w:val="0"/>
          <w:numId w:val="2"/>
        </w:numPr>
        <w:spacing w:after="60" w:before="60"/>
      </w:pPr>
      <w:r>
        <w:rPr>
          <w:rFonts w:ascii="Arial" w:cs="Arial" w:eastAsia="Arial" w:hAnsi="Arial"/>
          <w:color w:val="000000"/>
          <w:sz w:val="22"/>
          <w:szCs w:val="22"/>
        </w:rPr>
        <w:t xml:space="preserve">No se requiere migración de histórico de cambios, solo el estado actual de los registros.</w:t>
      </w:r>
    </w:p>
    <w:p>
      <w:pPr>
        <w:pStyle w:val="ListParagraph"/>
        <w:numPr>
          <w:ilvl w:val="0"/>
          <w:numId w:val="2"/>
        </w:numPr>
        <w:spacing w:after="60" w:before="60"/>
      </w:pPr>
      <w:r>
        <w:rPr>
          <w:rFonts w:ascii="Arial" w:cs="Arial" w:eastAsia="Arial" w:hAnsi="Arial"/>
          <w:color w:val="000000"/>
          <w:sz w:val="22"/>
          <w:szCs w:val="22"/>
        </w:rPr>
        <w:t xml:space="preserve">NetBox se desplegará inicialmente en entorno local (Docker) para las pruebas, y en servidor corporativo para producción.</w:t>
      </w:r>
    </w:p>
    <w:p>
      <w:pPr>
        <w:pStyle w:val="ListParagraph"/>
        <w:numPr>
          <w:ilvl w:val="0"/>
          <w:numId w:val="2"/>
        </w:numPr>
        <w:spacing w:after="60" w:before="60"/>
      </w:pPr>
      <w:r>
        <w:rPr>
          <w:rFonts w:ascii="Arial" w:cs="Arial" w:eastAsia="Arial" w:hAnsi="Arial"/>
          <w:color w:val="000000"/>
          <w:sz w:val="22"/>
          <w:szCs w:val="22"/>
        </w:rPr>
        <w:t xml:space="preserve">CMDBuild permanecerá operativo en modo lectura durante 30 días tras la migración como garantía de rollback.</w:t>
      </w:r>
    </w:p>
    <w:p>
      <w:pPr>
        <w:pStyle w:val="Heading2"/>
        <w:spacing w:after="120" w:before="280"/>
      </w:pPr>
      <w:r>
        <w:rPr>
          <w:rFonts w:ascii="Arial" w:cs="Arial" w:eastAsia="Arial" w:hAnsi="Arial"/>
          <w:b/>
          <w:bCs/>
          <w:color w:val="2E75B6"/>
          <w:sz w:val="26"/>
          <w:szCs w:val="26"/>
        </w:rPr>
        <w:t xml:space="preserve">9.2. Exclusiones</w:t>
      </w:r>
    </w:p>
    <w:p>
      <w:pPr>
        <w:pStyle w:val="ListParagraph"/>
        <w:numPr>
          <w:ilvl w:val="0"/>
          <w:numId w:val="2"/>
        </w:numPr>
        <w:spacing w:after="60" w:before="60"/>
      </w:pPr>
      <w:r>
        <w:rPr>
          <w:rFonts w:ascii="Arial" w:cs="Arial" w:eastAsia="Arial" w:hAnsi="Arial"/>
          <w:color w:val="000000"/>
          <w:sz w:val="22"/>
          <w:szCs w:val="22"/>
        </w:rPr>
        <w:t xml:space="preserve">Las clases Instancias BBDD, Gate Sandetel y Procesos quedan fuera del alcance de esta fase.</w:t>
      </w:r>
    </w:p>
    <w:p>
      <w:pPr>
        <w:pStyle w:val="ListParagraph"/>
        <w:numPr>
          <w:ilvl w:val="0"/>
          <w:numId w:val="2"/>
        </w:numPr>
        <w:spacing w:after="60" w:before="60"/>
      </w:pPr>
      <w:r>
        <w:rPr>
          <w:rFonts w:ascii="Arial" w:cs="Arial" w:eastAsia="Arial" w:hAnsi="Arial"/>
          <w:color w:val="000000"/>
          <w:sz w:val="22"/>
          <w:szCs w:val="22"/>
        </w:rPr>
        <w:t xml:space="preserve">No se incluye la migración de adjuntos, documentos o imágenes asociados a los registros.</w:t>
      </w:r>
    </w:p>
    <w:p>
      <w:pPr>
        <w:pStyle w:val="ListParagraph"/>
        <w:numPr>
          <w:ilvl w:val="0"/>
          <w:numId w:val="2"/>
        </w:numPr>
        <w:spacing w:after="60" w:before="60"/>
      </w:pPr>
      <w:r>
        <w:rPr>
          <w:rFonts w:ascii="Arial" w:cs="Arial" w:eastAsia="Arial" w:hAnsi="Arial"/>
          <w:color w:val="000000"/>
          <w:sz w:val="22"/>
          <w:szCs w:val="22"/>
        </w:rPr>
        <w:t xml:space="preserve">No se contempla integración automática bidireccional entre CMDBuild y NetBox.</w:t>
      </w:r>
    </w:p>
    <w:p>
      <w:pPr>
        <w:pStyle w:val="ListParagraph"/>
        <w:numPr>
          <w:ilvl w:val="0"/>
          <w:numId w:val="2"/>
        </w:numPr>
        <w:spacing w:after="60" w:before="60"/>
      </w:pPr>
      <w:r>
        <w:rPr>
          <w:rFonts w:ascii="Arial" w:cs="Arial" w:eastAsia="Arial" w:hAnsi="Arial"/>
          <w:color w:val="000000"/>
          <w:sz w:val="22"/>
          <w:szCs w:val="22"/>
        </w:rPr>
        <w:t xml:space="preserve">El despliegue en infraestructura corporativa en alta disponibilidad requerirá una propuesta técnica adicional.</w:t>
      </w:r>
    </w:p>
    <w:p>
      <w:pPr>
        <w:pStyle w:val="ListParagraph"/>
        <w:numPr>
          <w:ilvl w:val="0"/>
          <w:numId w:val="2"/>
        </w:numPr>
        <w:spacing w:after="60" w:before="60"/>
      </w:pPr>
      <w:r>
        <w:rPr>
          <w:rFonts w:ascii="Arial" w:cs="Arial" w:eastAsia="Arial" w:hAnsi="Arial"/>
          <w:color w:val="000000"/>
          <w:sz w:val="22"/>
          <w:szCs w:val="22"/>
        </w:rPr>
        <w:t xml:space="preserve">La limpieza o corrección de datos erróneos en CMDBuild es responsabilidad del administrador de CMDBuild, no del equipo de migración.</w:t>
      </w:r>
    </w:p>
    <w:p>
      <w:pPr>
        <w:spacing w:after="0" w:before="80"/>
      </w:pPr>
      <w:r>
        <w:rPr>
          <w:rFonts w:ascii="Arial" w:cs="Arial" w:eastAsia="Arial" w:hAnsi="Arial"/>
          <w:sz w:val="22"/>
          <w:szCs w:val="22"/>
        </w:rPr>
        <w:t xml:space="preserve"/>
      </w:r>
    </w:p>
    <w:p>
      <w:pPr>
        <w:pStyle w:val="Heading1"/>
        <w:spacing w:after="160" w:before="400"/>
      </w:pPr>
      <w:r>
        <w:rPr>
          <w:rFonts w:ascii="Arial" w:cs="Arial" w:eastAsia="Arial" w:hAnsi="Arial"/>
          <w:b/>
          <w:bCs/>
          <w:color w:val="1F4E79"/>
          <w:sz w:val="32"/>
          <w:szCs w:val="32"/>
        </w:rPr>
        <w:t xml:space="preserve">10. Próximos Pasos</w:t>
      </w:r>
    </w:p>
    <w:p>
      <w:pPr>
        <w:spacing w:after="80" w:before="80"/>
      </w:pPr>
      <w:r>
        <w:rPr>
          <w:rFonts w:ascii="Arial" w:cs="Arial" w:eastAsia="Arial" w:hAnsi="Arial"/>
          <w:color w:val="000000"/>
          <w:sz w:val="22"/>
          <w:szCs w:val="22"/>
        </w:rPr>
        <w:t xml:space="preserve">Una vez aprobada esta propuesta, se recomienda proceder en el siguiente orden:</w:t>
      </w:r>
    </w:p>
    <w:p>
      <w:pPr>
        <w:spacing w:after="0" w:before="80"/>
      </w:pPr>
      <w:r>
        <w:rPr>
          <w:rFonts w:ascii="Arial" w:cs="Arial" w:eastAsia="Arial" w:hAnsi="Arial"/>
          <w:sz w:val="22"/>
          <w:szCs w:val="22"/>
        </w:rPr>
        <w:t xml:space="preserve"/>
      </w:r>
    </w:p>
    <w:p>
      <w:pPr>
        <w:pStyle w:val="ListParagraph"/>
        <w:numPr>
          <w:ilvl w:val="0"/>
          <w:numId w:val="3"/>
        </w:numPr>
        <w:spacing w:after="60" w:before="60"/>
      </w:pPr>
      <w:r>
        <w:rPr>
          <w:rFonts w:ascii="Arial" w:cs="Arial" w:eastAsia="Arial" w:hAnsi="Arial"/>
          <w:color w:val="000000"/>
          <w:sz w:val="22"/>
          <w:szCs w:val="22"/>
        </w:rPr>
        <w:t xml:space="preserve">Aprobación formal de la propuesta por el responsable técnico y asignación del equipo.</w:t>
      </w:r>
    </w:p>
    <w:p>
      <w:pPr>
        <w:pStyle w:val="ListParagraph"/>
        <w:numPr>
          <w:ilvl w:val="0"/>
          <w:numId w:val="3"/>
        </w:numPr>
        <w:spacing w:after="60" w:before="60"/>
      </w:pPr>
      <w:r>
        <w:rPr>
          <w:rFonts w:ascii="Arial" w:cs="Arial" w:eastAsia="Arial" w:hAnsi="Arial"/>
          <w:color w:val="000000"/>
          <w:sz w:val="22"/>
          <w:szCs w:val="22"/>
        </w:rPr>
        <w:t xml:space="preserve">Inicio de la Fase 1: preparación del entorno Docker en el equipo designado.</w:t>
      </w:r>
    </w:p>
    <w:p>
      <w:pPr>
        <w:pStyle w:val="ListParagraph"/>
        <w:numPr>
          <w:ilvl w:val="0"/>
          <w:numId w:val="3"/>
        </w:numPr>
        <w:spacing w:after="60" w:before="60"/>
      </w:pPr>
      <w:r>
        <w:rPr>
          <w:rFonts w:ascii="Arial" w:cs="Arial" w:eastAsia="Arial" w:hAnsi="Arial"/>
          <w:color w:val="000000"/>
          <w:sz w:val="22"/>
          <w:szCs w:val="22"/>
        </w:rPr>
        <w:t xml:space="preserve">Reunión de kickoff con los responsables funcionales para revisar el mapeo de campos y confirmar la tabla de conversión de valores de estado.</w:t>
      </w:r>
    </w:p>
    <w:p>
      <w:pPr>
        <w:pStyle w:val="ListParagraph"/>
        <w:numPr>
          <w:ilvl w:val="0"/>
          <w:numId w:val="3"/>
        </w:numPr>
        <w:spacing w:after="60" w:before="60"/>
      </w:pPr>
      <w:r>
        <w:rPr>
          <w:rFonts w:ascii="Arial" w:cs="Arial" w:eastAsia="Arial" w:hAnsi="Arial"/>
          <w:color w:val="000000"/>
          <w:sz w:val="22"/>
          <w:szCs w:val="22"/>
        </w:rPr>
        <w:t xml:space="preserve">Desarrollo del script de migración (Fase 3) utilizando los CSV ya disponibles.</w:t>
      </w:r>
    </w:p>
    <w:p>
      <w:pPr>
        <w:pStyle w:val="ListParagraph"/>
        <w:numPr>
          <w:ilvl w:val="0"/>
          <w:numId w:val="3"/>
        </w:numPr>
        <w:spacing w:after="60" w:before="60"/>
      </w:pPr>
      <w:r>
        <w:rPr>
          <w:rFonts w:ascii="Arial" w:cs="Arial" w:eastAsia="Arial" w:hAnsi="Arial"/>
          <w:color w:val="000000"/>
          <w:sz w:val="22"/>
          <w:szCs w:val="22"/>
        </w:rPr>
        <w:t xml:space="preserve">Comunicación del calendario de pruebas y de la fecha estimada de migración a producción.</w:t>
      </w:r>
    </w:p>
    <w:p>
      <w:pPr>
        <w:spacing w:after="0" w:before="20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thick" w:color="2E75B6" w:sz="12"/>
              <w:bottom w:val="single" w:color="2E75B6" w:sz="4"/>
              <w:right w:val="none" w:color="FFFFFF" w:sz="0"/>
            </w:tcBorders>
            <w:shd w:fill="EBF3FB" w:val="clear"/>
            <w:tcMar>
              <w:top w:type="dxa" w:w="100"/>
              <w:left w:type="dxa" w:w="180"/>
              <w:bottom w:type="dxa" w:w="100"/>
              <w:right w:type="dxa" w:w="180"/>
            </w:tcMar>
          </w:tcPr>
          <w:p>
            <w:r>
              <w:rPr>
                <w:rFonts w:ascii="Arial" w:cs="Arial" w:eastAsia="Arial" w:hAnsi="Arial"/>
                <w:b/>
                <w:bCs/>
                <w:color w:val="1F4E79"/>
                <w:sz w:val="20"/>
                <w:szCs w:val="20"/>
              </w:rPr>
              <w:t xml:space="preserve">Contacto del proyecto: </w:t>
            </w:r>
            <w:r>
              <w:rPr>
                <w:rFonts w:ascii="Arial" w:cs="Arial" w:eastAsia="Arial" w:hAnsi="Arial"/>
                <w:color w:val="595959"/>
                <w:sz w:val="20"/>
                <w:szCs w:val="20"/>
              </w:rPr>
              <w:t xml:space="preserve">Equipo de Infraestructura TI — Sandetel, Junta de Andalucía. Para consultas técnicas sobre esta propuesta, dirigirse al responsable técnico del proyecto asignado en la Fase 1.</w:t>
            </w:r>
          </w:p>
        </w:tc>
      </w:tr>
    </w:tbl>
    <w:sectPr>
      <w:headerReference w:type="default" r:id="rId9"/>
      <w:footerReference w:type="default" r:id="rId10"/>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120"/>
      <w:jc w:val="center"/>
    </w:pPr>
    <w:r>
      <w:rPr>
        <w:rFonts w:ascii="Arial" w:cs="Arial" w:eastAsia="Arial" w:hAnsi="Arial"/>
        <w:color w:val="595959"/>
        <w:sz w:val="16"/>
        <w:szCs w:val="16"/>
      </w:rPr>
      <w:t xml:space="preserve">Junta de Andalucía — Sandetel  |  Uso interno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60" w:before="0"/>
      <w:jc w:val="right"/>
    </w:pPr>
    <w:r>
      <w:rPr>
        <w:rFonts w:ascii="Arial" w:cs="Arial" w:eastAsia="Arial" w:hAnsi="Arial"/>
        <w:color w:val="595959"/>
        <w:sz w:val="18"/>
        <w:szCs w:val="18"/>
      </w:rPr>
      <w:t xml:space="preserve">Propuesta Técnica de Migración  |  CMDBuild → NetBox  |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2026-05-19T12:14:22.903Z</dcterms:created>
  <dcterms:modified xsi:type="dcterms:W3CDTF">2026-05-19T12:14:22.903Z</dcterms:modified>
</cp:coreProperties>
</file>

<file path=docProps/custom.xml><?xml version="1.0" encoding="utf-8"?>
<Properties xmlns="http://schemas.openxmlformats.org/officeDocument/2006/custom-properties" xmlns:vt="http://schemas.openxmlformats.org/officeDocument/2006/docPropsVTypes"/>
</file>