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  <w:jc w:val="center"/>
      </w:pPr>
      <w:r>
        <w:rPr>
          <w:rFonts w:ascii="Calibri" w:cs="Calibri" w:eastAsia="Calibri" w:hAnsi="Calibri"/>
          <w:b/>
          <w:bCs/>
          <w:color w:val="002060"/>
          <w:sz w:val="56"/>
          <w:szCs w:val="56"/>
        </w:rPr>
        <w:t xml:space="preserve">VEKTOR INTELLIGENCE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777777"/>
          <w:sz w:val="26"/>
          <w:szCs w:val="26"/>
        </w:rPr>
        <w:t xml:space="preserve">Diagrams Reference — TESSERACT '26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SIG Reality Spectra  ·  VIT Pune, Bibwewadi Campus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02060"/>
          <w:sz w:val="24"/>
          <w:szCs w:val="24"/>
        </w:rPr>
        <w:t xml:space="preserve">Contents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 5-Layer AI Engine Pipeline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 Knowledge Tier System (T1–T4)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 4-Role Hierarchy &amp; Inheritance Chain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 Full Session Flow (9 Steps)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 Technology Stack Overview</w:t>
      </w:r>
    </w:p>
    <w:p>
      <w:r>
        <w:br w:type="page"/>
      </w:r>
    </w:p>
    <w:p>
      <w:pPr>
        <w:shd w:fill="002060" w:val="clear"/>
        <w:spacing w:before="280" w:after="10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DIAGRAM 1 — 5-Layer AI Engine Pipeline</w:t>
      </w:r>
    </w:p>
    <w:p>
      <w:pPr>
        <w:spacing w:before="0" w:after="80"/>
      </w:pPr>
      <w:r>
        <w:t xml:space="preserve"/>
      </w:r>
    </w:p>
    <w:p>
      <w:pPr>
        <w:pBdr>
          <w:bottom w:val="single" w:color="00206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2060"/>
          <w:sz w:val="22"/>
          <w:szCs w:val="22"/>
        </w:rPr>
        <w:t xml:space="preserve">Every student session passes through these 5 layers in sequence: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00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200"/>
            <w:tcBorders>
              <w:top w:val="single" w:color="5B0072" w:sz="2"/>
              <w:left w:val="none" w:color="FFFFFF" w:sz="0"/>
              <w:bottom w:val="single" w:color="5B0072" w:sz="2"/>
              <w:right w:val="single" w:color="5B0072" w:sz="2"/>
            </w:tcBorders>
            <w:shd w:fill="F0EE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B0072"/>
                <w:sz w:val="22"/>
                <w:szCs w:val="22"/>
              </w:rPr>
              <w:t xml:space="preserve">NATURAL LANGUAGE INPUT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Student submits STEM query in plain text. Subject auto-detected by Gemini.</w:t>
            </w:r>
          </w:p>
        </w:tc>
      </w:tr>
    </w:tbl>
    <w:p>
      <w:pPr>
        <w:spacing w:before="20" w:after="20"/>
        <w:jc w:val="center"/>
      </w:pPr>
      <w:r>
        <w:rPr>
          <w:rFonts w:ascii="Calibri" w:cs="Calibri" w:eastAsia="Calibri" w:hAnsi="Calibri"/>
          <w:b/>
          <w:bCs/>
          <w:color w:val="888888"/>
          <w:sz w:val="28"/>
          <w:szCs w:val="28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200"/>
            <w:tcBorders>
              <w:top w:val="single" w:color="1A4F8A" w:sz="2"/>
              <w:left w:val="none" w:color="FFFFFF" w:sz="0"/>
              <w:bottom w:val="single" w:color="1A4F8A" w:sz="2"/>
              <w:right w:val="single" w:color="1A4F8A" w:sz="2"/>
            </w:tcBorders>
            <w:shd w:fill="F0EE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4F8A"/>
                <w:sz w:val="22"/>
                <w:szCs w:val="22"/>
              </w:rPr>
              <w:t xml:space="preserve">TRIPLE EXTRACTION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Gemini 1.5 Flash → 2–8 relational triples as validated JSON. 3-attempt retry. Deterministic T4 fallback.</w:t>
            </w:r>
          </w:p>
        </w:tc>
      </w:tr>
    </w:tbl>
    <w:p>
      <w:pPr>
        <w:spacing w:before="20" w:after="20"/>
        <w:jc w:val="center"/>
      </w:pPr>
      <w:r>
        <w:rPr>
          <w:rFonts w:ascii="Calibri" w:cs="Calibri" w:eastAsia="Calibri" w:hAnsi="Calibri"/>
          <w:b/>
          <w:bCs/>
          <w:color w:val="888888"/>
          <w:sz w:val="28"/>
          <w:szCs w:val="28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8200"/>
            <w:tcBorders>
              <w:top w:val="single" w:color="1A5E35" w:sz="2"/>
              <w:left w:val="none" w:color="FFFFFF" w:sz="0"/>
              <w:bottom w:val="single" w:color="1A5E35" w:sz="2"/>
              <w:right w:val="single" w:color="1A5E35" w:sz="2"/>
            </w:tcBorders>
            <w:shd w:fill="F0EE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E35"/>
                <w:sz w:val="22"/>
                <w:szCs w:val="22"/>
              </w:rPr>
              <w:t xml:space="preserve">DUAL GRAPH CONSTRUCTION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SKG built via NetworkX from triples. DKG loaded from Firestore. Semantic match via sentence-transformers (cosine ≥ 0.72).</w:t>
            </w:r>
          </w:p>
        </w:tc>
      </w:tr>
    </w:tbl>
    <w:p>
      <w:pPr>
        <w:spacing w:before="20" w:after="20"/>
        <w:jc w:val="center"/>
      </w:pPr>
      <w:r>
        <w:rPr>
          <w:rFonts w:ascii="Calibri" w:cs="Calibri" w:eastAsia="Calibri" w:hAnsi="Calibri"/>
          <w:b/>
          <w:bCs/>
          <w:color w:val="888888"/>
          <w:sz w:val="28"/>
          <w:szCs w:val="28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5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8200"/>
            <w:tcBorders>
              <w:top w:val="single" w:color="7A4500" w:sz="2"/>
              <w:left w:val="none" w:color="FFFFFF" w:sz="0"/>
              <w:bottom w:val="single" w:color="7A4500" w:sz="2"/>
              <w:right w:val="single" w:color="7A4500" w:sz="2"/>
            </w:tcBorders>
            <w:shd w:fill="F0EE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7A4500"/>
                <w:sz w:val="22"/>
                <w:szCs w:val="22"/>
              </w:rPr>
              <w:t xml:space="preserve">ML GRAPH COMPARISON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6 metrics: Node Coverage · Edge Alignment · Contradiction Rate · Prereq Chain · Concept Depth · Missing Critical Nodes → T1–T4 classifier.</w:t>
            </w:r>
          </w:p>
        </w:tc>
      </w:tr>
    </w:tbl>
    <w:p>
      <w:pPr>
        <w:spacing w:before="20" w:after="20"/>
        <w:jc w:val="center"/>
      </w:pPr>
      <w:r>
        <w:rPr>
          <w:rFonts w:ascii="Calibri" w:cs="Calibri" w:eastAsia="Calibri" w:hAnsi="Calibri"/>
          <w:b/>
          <w:bCs/>
          <w:color w:val="888888"/>
          <w:sz w:val="28"/>
          <w:szCs w:val="28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8200"/>
            <w:tcBorders>
              <w:top w:val="single" w:color="1A4F8A" w:sz="2"/>
              <w:left w:val="none" w:color="FFFFFF" w:sz="0"/>
              <w:bottom w:val="single" w:color="1A4F8A" w:sz="2"/>
              <w:right w:val="single" w:color="1A4F8A" w:sz="2"/>
            </w:tcBorders>
            <w:shd w:fill="F0EE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4F8A"/>
                <w:sz w:val="22"/>
                <w:szCs w:val="22"/>
              </w:rPr>
              <w:t xml:space="preserve">RAG EXPLANATION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Matched DKG nodes injected into Gemini prompt. Explanation grounded in real domain knowledge. Returns explanation + 3 adaptive path items.</w:t>
            </w:r>
          </w:p>
        </w:tc>
      </w:tr>
    </w:tbl>
    <w:p>
      <w:pPr>
        <w:spacing w:before="6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Fig 1. The 5-layer AI engine. Each layer feeds the next. Gemini retry backoff: 200 / 400 / 800ms. Deterministic T4 fallback ensures student always receives a result.</w:t>
      </w:r>
    </w:p>
    <w:p>
      <w:r>
        <w:br w:type="page"/>
      </w:r>
    </w:p>
    <w:p>
      <w:pPr>
        <w:shd w:fill="002060" w:val="clear"/>
        <w:spacing w:before="280" w:after="10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DIAGRAM 2 — Knowledge Tier System (T1–T4)</w:t>
      </w:r>
    </w:p>
    <w:p>
      <w:pPr>
        <w:spacing w:before="0" w:after="80"/>
      </w:pPr>
      <w:r>
        <w:t xml:space="preserve"/>
      </w:r>
    </w:p>
    <w:p>
      <w:pPr>
        <w:pBdr>
          <w:bottom w:val="single" w:color="00206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2060"/>
          <w:sz w:val="22"/>
          <w:szCs w:val="22"/>
        </w:rPr>
        <w:t xml:space="preserve">The diagnostic output of every session — what kind of gap the student has: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ALIGNED</w:t>
            </w:r>
          </w:p>
        </w:tc>
        <w:tc>
          <w:tcPr>
            <w:tcW w:type="dxa" w:w="7600"/>
            <w:tcBorders>
              <w:top w:val="single" w:color="1A6B3A" w:sz="2"/>
              <w:left w:val="none" w:color="FFFFFF" w:sz="0"/>
              <w:bottom w:val="single" w:color="1A6B3A" w:sz="2"/>
              <w:right w:val="single" w:color="1A6B3A" w:sz="2"/>
            </w:tcBorders>
            <w:shd w:fill="DFF0D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Understanding matches the DKG. Concept confirmed. Becomes a building block for downstream concepts. No intervention needed.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4E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GAP / INCOMPLETE</w:t>
            </w:r>
          </w:p>
        </w:tc>
        <w:tc>
          <w:tcPr>
            <w:tcW w:type="dxa" w:w="7600"/>
            <w:tcBorders>
              <w:top w:val="single" w:color="7D4E00" w:sz="2"/>
              <w:left w:val="none" w:color="FFFFFF" w:sz="0"/>
              <w:bottom w:val="single" w:color="7D4E00" w:sz="2"/>
              <w:right w:val="single" w:color="7D4E00" w:sz="2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Surface understanding present but key connections to adjacent DKG nodes are missing. Can answer basic questions but not advanced ones depending on this concept.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T3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MISCONCEPTION</w:t>
            </w:r>
          </w:p>
        </w:tc>
        <w:tc>
          <w:tcPr>
            <w:tcW w:type="dxa" w:w="7600"/>
            <w:tcBorders>
              <w:top w:val="single" w:color="8B0000" w:sz="2"/>
              <w:left w:val="none" w:color="FFFFFF" w:sz="0"/>
              <w:bottom w:val="single" w:color="8B0000" w:sz="2"/>
              <w:right w:val="single" w:color="8B0000" w:sz="2"/>
            </w:tcBorders>
            <w:shd w:fill="F9D6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Mental model has a structural error — a belief that reverses a prerequisite relationship in the DKG. Blocks all downstream understanding. Fires when contradiction rate ≥ 0.20.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6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T4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FRAGMENTED</w:t>
            </w:r>
          </w:p>
        </w:tc>
        <w:tc>
          <w:tcPr>
            <w:tcW w:type="dxa" w:w="7600"/>
            <w:tcBorders>
              <w:top w:val="single" w:color="444466" w:sz="2"/>
              <w:left w:val="none" w:color="FFFFFF" w:sz="0"/>
              <w:bottom w:val="single" w:color="444466" w:sz="2"/>
              <w:right w:val="single" w:color="444466" w:sz="2"/>
            </w:tcBorders>
            <w:shd w:fill="EEEEEE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Insufficient conceptual structure to map understanding. Fewer than 2 concept nodes extracted from the query. Student needs to be more specific.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Fig 2. T3 (Misconception) is checked before T2 — it is the highest-priority diagnostic. T1 requires weighted alignment ≥ 0.60 across Node Coverage, Edge Alignment, and Prereq Chain Coverage.</w:t>
      </w:r>
    </w:p>
    <w:p>
      <w:r>
        <w:br w:type="page"/>
      </w:r>
    </w:p>
    <w:p>
      <w:pPr>
        <w:shd w:fill="002060" w:val="clear"/>
        <w:spacing w:before="280" w:after="10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DIAGRAM 3 — 4-Role Hierarchy &amp; Inheritance Chain</w:t>
      </w:r>
    </w:p>
    <w:p>
      <w:pPr>
        <w:spacing w:before="0" w:after="80"/>
      </w:pPr>
      <w:r>
        <w:t xml:space="preserve"/>
      </w:r>
    </w:p>
    <w:p>
      <w:pPr>
        <w:pBdr>
          <w:bottom w:val="single" w:color="00206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2060"/>
          <w:sz w:val="22"/>
          <w:szCs w:val="22"/>
        </w:rPr>
        <w:t xml:space="preserve">VEKTOR is a hierarchical knowledge ecosystem — not a flat multi-user app: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66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ADMIN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DDDDDD"/>
                <w:sz w:val="16"/>
                <w:szCs w:val="16"/>
              </w:rPr>
              <w:t xml:space="preserve">Platform Control</w:t>
            </w:r>
          </w:p>
        </w:tc>
        <w:tc>
          <w:tcPr>
            <w:tcW w:type="dxa" w:w="7000"/>
            <w:tcBorders>
              <w:top w:val="single" w:color="333366" w:sz="2"/>
              <w:left w:val="none" w:color="FFFFFF" w:sz="0"/>
              <w:bottom w:val="single" w:color="333366" w:sz="2"/>
              <w:right w:val="single" w:color="333366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Sees every user across all roles. Controls feature flags, DKG trainer, platform statistics, audit logs, and backend maintenance.</w:t>
            </w:r>
          </w:p>
        </w:tc>
      </w:tr>
    </w:tbl>
    <w:p>
      <w:pPr>
        <w:spacing w:before="30" w:after="3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↓  DKG inherits downward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RESEARCHER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DDDDDD"/>
                <w:sz w:val="16"/>
                <w:szCs w:val="16"/>
              </w:rPr>
              <w:t xml:space="preserve">Knowledge Source</w:t>
            </w:r>
          </w:p>
        </w:tc>
        <w:tc>
          <w:tcPr>
            <w:tcW w:type="dxa" w:w="7000"/>
            <w:tcBorders>
              <w:top w:val="single" w:color="1A4F8A" w:sz="2"/>
              <w:left w:val="none" w:color="FFFFFF" w:sz="0"/>
              <w:bottom w:val="single" w:color="1A4F8A" w:sz="2"/>
              <w:right w:val="single" w:color="1A4F8A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Discovers, validates, and publishes Domain Knowledge Graphs. Every DKG originates here. Teachers inherit DKGs — they cannot create their own.</w:t>
            </w:r>
          </w:p>
        </w:tc>
      </w:tr>
    </w:tbl>
    <w:p>
      <w:pPr>
        <w:spacing w:before="30" w:after="3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↓  DKG inherits downward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TEACHER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DDDDDD"/>
                <w:sz w:val="16"/>
                <w:szCs w:val="16"/>
              </w:rPr>
              <w:t xml:space="preserve">Guardian Layer</w:t>
            </w:r>
          </w:p>
        </w:tc>
        <w:tc>
          <w:tcPr>
            <w:tcW w:type="dxa" w:w="7000"/>
            <w:tcBorders>
              <w:top w:val="single" w:color="1A6B3A" w:sz="2"/>
              <w:left w:val="none" w:color="FFFFFF" w:sz="0"/>
              <w:bottom w:val="single" w:color="1A6B3A" w:sz="2"/>
              <w:right w:val="single" w:color="1A6B3A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Receives DKGs from Researchers. Delivers to Students via classes. Monitors all students via real-time heatmap and individual knowledge graphs.</w:t>
            </w:r>
          </w:p>
        </w:tc>
      </w:tr>
    </w:tbl>
    <w:p>
      <w:pPr>
        <w:spacing w:before="30" w:after="3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↓ DKG flows down  |  ↑ SKG data flows 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5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STUDENT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DDDDDD"/>
                <w:sz w:val="16"/>
                <w:szCs w:val="16"/>
              </w:rPr>
              <w:t xml:space="preserve">Leaf Node</w:t>
            </w:r>
          </w:p>
        </w:tc>
        <w:tc>
          <w:tcPr>
            <w:tcW w:type="dxa" w:w="7000"/>
            <w:tcBorders>
              <w:top w:val="single" w:color="7A4500" w:sz="2"/>
              <w:left w:val="none" w:color="FFFFFF" w:sz="0"/>
              <w:bottom w:val="single" w:color="7A4500" w:sz="2"/>
              <w:right w:val="single" w:color="7A4500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Learns by asking questions. Each session generates an SKG compared against the DKG. Gaps and misconceptions flow back to Teacher automatically.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Fig 3. DKG knowledge flows downward (Researcher → Teacher → Student). SKG session data flows back upward (Student → Teacher) via Firestore onSnapshot in real time.</w:t>
      </w:r>
    </w:p>
    <w:p>
      <w:r>
        <w:br w:type="page"/>
      </w:r>
    </w:p>
    <w:p>
      <w:pPr>
        <w:shd w:fill="002060" w:val="clear"/>
        <w:spacing w:before="280" w:after="10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DIAGRAM 4 — Full Session Flow (9 Steps)</w:t>
      </w:r>
    </w:p>
    <w:p>
      <w:pPr>
        <w:spacing w:before="0" w:after="80"/>
      </w:pPr>
      <w:r>
        <w:t xml:space="preserve"/>
      </w:r>
    </w:p>
    <w:p>
      <w:pPr>
        <w:pBdr>
          <w:bottom w:val="single" w:color="00206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2060"/>
          <w:sz w:val="22"/>
          <w:szCs w:val="22"/>
        </w:rPr>
        <w:t xml:space="preserve">What happens from the moment a student submits a query to session save: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Types STEM query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Subject auto-detected. Sent to FastAPI.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FastAPI / Gemini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Triple extraction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2–8 relational triples returned as JSON. Validated. Retry on fail.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NetworkX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SKG built from triples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DiGraph: concepts = nodes, relations = directed edges.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Firestore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DKG loaded for subject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Pre-loaded in memory at startup. Embeddings pre-computed.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sentence-transformers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Semantic node matching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Each SKG node matched to nearest DKG node. Threshold: cosine ≥ 0.72.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Comparator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 metrics computed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Node coverage · Edge alignment · Contradiction rate · Prereq chain · Concept depth · Missing critical nodes.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Classifier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T1–T4 tier assigned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T3 if contradiction rate ≥ 0.20. T4 if node count &lt; 2. T1 if weighted alignment ≥ 0.60.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Gemini (RAG)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Explanation generated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DKG node descriptions + prereq chains injected into prompt. Returns explanation + adaptive path.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19"/>
                <w:szCs w:val="19"/>
              </w:rPr>
              <w:t xml:space="preserve">Firestore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Session saved + teacher notified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onSnapshot fires on teacher dashboard. Heatmap updates in real time.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Fig 4. Steps 2–8 run server-side on Railway FastAPI. Step 9 triggers teacher dashboard update via Firestore real-time listener. Total target time: under 800ms.</w:t>
      </w:r>
    </w:p>
    <w:p>
      <w:r>
        <w:br w:type="page"/>
      </w:r>
    </w:p>
    <w:p>
      <w:pPr>
        <w:shd w:fill="002060" w:val="clear"/>
        <w:spacing w:before="280" w:after="10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DIAGRAM 5 — Technology Stack Overview</w:t>
      </w:r>
    </w:p>
    <w:p>
      <w:pPr>
        <w:spacing w:before="0" w:after="80"/>
      </w:pPr>
      <w:r>
        <w:t xml:space="preserve"/>
      </w:r>
    </w:p>
    <w:p>
      <w:pPr>
        <w:pBdr>
          <w:bottom w:val="single" w:color="00206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002060"/>
          <w:sz w:val="22"/>
          <w:szCs w:val="22"/>
        </w:rPr>
        <w:t xml:space="preserve">Layered technology architecture — from user interface down to infrastructure: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7000"/>
            <w:tcBorders>
              <w:top w:val="single" w:color="1A4F8A" w:sz="2"/>
              <w:left w:val="none" w:color="FFFFFF" w:sz="0"/>
              <w:bottom w:val="single" w:color="1A4F8A" w:sz="2"/>
              <w:right w:val="single" w:color="1A4F8A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16 (App Router)  ·  TypeScript  ·  Tailwind CSS v4  ·  Zustand  ·  Raw WebGL2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00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ENGINE</w:t>
            </w:r>
          </w:p>
        </w:tc>
        <w:tc>
          <w:tcPr>
            <w:tcW w:type="dxa" w:w="7000"/>
            <w:tcBorders>
              <w:top w:val="single" w:color="5B0072" w:sz="2"/>
              <w:left w:val="none" w:color="FFFFFF" w:sz="0"/>
              <w:bottom w:val="single" w:color="5B0072" w:sz="2"/>
              <w:right w:val="single" w:color="5B0072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Gemini 1.5 Flash  ·  RAG pipeline (DKG context injection)  ·  sentence-transformers  ·  NetworkX DiGraph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 LAYER</w:t>
            </w:r>
          </w:p>
        </w:tc>
        <w:tc>
          <w:tcPr>
            <w:tcW w:type="dxa" w:w="7000"/>
            <w:tcBorders>
              <w:top w:val="single" w:color="1A6B3A" w:sz="2"/>
              <w:left w:val="none" w:color="FFFFFF" w:sz="0"/>
              <w:bottom w:val="single" w:color="1A6B3A" w:sz="2"/>
              <w:right w:val="single" w:color="1A6B3A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FastAPI  ·  Python 3.11  ·  Uvicorn  ·  Pydantic v2  ·  Firebase Admin SDK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5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LAYER</w:t>
            </w:r>
          </w:p>
        </w:tc>
        <w:tc>
          <w:tcPr>
            <w:tcW w:type="dxa" w:w="7000"/>
            <w:tcBorders>
              <w:top w:val="single" w:color="7A4500" w:sz="2"/>
              <w:left w:val="none" w:color="FFFFFF" w:sz="0"/>
              <w:bottom w:val="single" w:color="7A4500" w:sz="2"/>
              <w:right w:val="single" w:color="7A4500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Firestore (asia-south1)  ·  Firebase Auth  ·  DKG JSON seeds  ·  Session store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000"/>
            <w:tcBorders>
              <w:top w:val="single" w:color="333333" w:sz="2"/>
              <w:left w:val="none" w:color="FFFFFF" w:sz="0"/>
              <w:bottom w:val="single" w:color="333333" w:sz="2"/>
              <w:right w:val="single" w:color="333333" w:sz="2"/>
            </w:tcBorders>
            <w:shd w:fill="EEF2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(frontend)  ·  Railway (backend)  ·  Google Cloud  ·  GitHub CI/CD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Fig 5. Each layer is independently deployable. The AI Engine and API Layer are co-located on Railway. The Presentation Layer is fully decoupled on Vercel.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2026-03-20T14:16:48.119Z</dcterms:created>
  <dcterms:modified xsi:type="dcterms:W3CDTF">2026-03-20T14:16:48.120Z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