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002060" w:val="clear"/>
            <w:tcMar>
              <w:top w:type="dxa" w:w="300"/>
              <w:left w:type="dxa" w:w="400"/>
              <w:bottom w:type="dxa" w:w="300"/>
              <w:right w:type="dxa" w:w="400"/>
            </w:tcMar>
          </w:tcPr>
          <w:p>
            <w:pPr>
              <w:spacing w:before="0" w:after="100"/>
              <w:jc w:val="center"/>
            </w:pPr>
            <w:r>
              <w:rPr>
                <w:rFonts w:ascii="Calibri" w:cs="Calibri" w:eastAsia="Calibri" w:hAnsi="Calibri"/>
                <w:b/>
                <w:bCs/>
                <w:color w:val="FFFFFF"/>
                <w:sz w:val="64"/>
                <w:szCs w:val="64"/>
              </w:rPr>
              <w:t xml:space="preserve">VEKTOR INTELLIGENCE</w:t>
            </w:r>
          </w:p>
          <w:p>
            <w:pPr>
              <w:spacing w:before="0" w:after="200"/>
              <w:jc w:val="center"/>
            </w:pPr>
            <w:r>
              <w:rPr>
                <w:rFonts w:ascii="Calibri" w:cs="Calibri" w:eastAsia="Calibri" w:hAnsi="Calibri"/>
                <w:i/>
                <w:iCs/>
                <w:color w:val="AACCFF"/>
                <w:sz w:val="28"/>
                <w:szCs w:val="28"/>
              </w:rPr>
              <w:t xml:space="preserve">Direction for every mind.</w:t>
            </w:r>
          </w:p>
          <w:p>
            <w:pPr>
              <w:spacing w:before="0" w:after="0"/>
              <w:jc w:val="center"/>
            </w:pPr>
            <w:r>
              <w:rPr>
                <w:rFonts w:ascii="Calibri" w:cs="Calibri" w:eastAsia="Calibri" w:hAnsi="Calibri"/>
                <w:color w:val="AACCFF"/>
                <w:sz w:val="20"/>
                <w:szCs w:val="20"/>
              </w:rPr>
              <w:t xml:space="preserve">TESSERACT '26  ·  SIG Reality Spectra  ·  VIT Pune, Bibwewadi Campus</w:t>
            </w:r>
          </w:p>
        </w:tc>
      </w:tr>
    </w:tbl>
    <w:p>
      <w:pPr>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Field</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Details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Problem Statement</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AI-Powered Adaptive STEM Learning Platform</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Track</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EdTech / Artificial Intelligence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Problem Statement ID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[To be filled before submission]</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Team Name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SIG Reality Spectra</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Team Members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[Member 1], [Member 2], [Member 3], [Member 4]</w:t>
            </w:r>
          </w:p>
        </w:tc>
      </w:tr>
    </w:tbl>
    <w:p>
      <w:r>
        <w:br w:type="page"/>
      </w:r>
    </w:p>
    <w:p>
      <w:pPr>
        <w:shd w:fill="002060" w:val="clear"/>
        <w:spacing w:before="300" w:after="120"/>
        <w:ind w:left="200" w:right="200"/>
        <w:jc w:val="left"/>
      </w:pPr>
      <w:r>
        <w:rPr>
          <w:rFonts w:ascii="Calibri" w:cs="Calibri" w:eastAsia="Calibri" w:hAnsi="Calibri"/>
          <w:b/>
          <w:bCs/>
          <w:color w:val="FFFFFF"/>
          <w:sz w:val="36"/>
          <w:szCs w:val="36"/>
        </w:rPr>
        <w:t xml:space="preserve">SLIDE 2 — IDEA &amp; SOLUTION</w:t>
      </w:r>
    </w:p>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The Problem</w:t>
      </w:r>
    </w:p>
    <w:p>
      <w:pPr>
        <w:spacing w:before="60" w:after="60"/>
        <w:jc w:val="both"/>
      </w:pPr>
      <w:r>
        <w:rPr>
          <w:rFonts w:ascii="Calibri" w:cs="Calibri" w:eastAsia="Calibri" w:hAnsi="Calibri"/>
          <w:b w:val="false"/>
          <w:bCs w:val="false"/>
          <w:color w:val="000000"/>
          <w:sz w:val="22"/>
          <w:szCs w:val="22"/>
        </w:rPr>
        <w:t xml:space="preserve">Students across every level of STEM education fail not because they lack access to information, but because their mental model of how concepts connect is fundamentally wrong. No existing platform — not ChatGPT, not Khan Academy, not Wolfram Alpha — shows a student where their understanding diverged from the truth. They all give the correct answer. None of them show the shape of the wrong belief.</w:t>
      </w:r>
    </w:p>
    <w:p>
      <w:pPr>
        <w:spacing w:before="0" w:after="0"/>
      </w:pPr>
      <w:r>
        <w:t xml:space="preserve"/>
      </w:r>
    </w:p>
    <w:p>
      <w:pPr>
        <w:spacing w:before="60" w:after="60"/>
        <w:jc w:val="both"/>
      </w:pPr>
      <w:r>
        <w:rPr>
          <w:rFonts w:ascii="Calibri" w:cs="Calibri" w:eastAsia="Calibri" w:hAnsi="Calibri"/>
          <w:b w:val="false"/>
          <w:bCs w:val="false"/>
          <w:color w:val="000000"/>
          <w:sz w:val="22"/>
          <w:szCs w:val="22"/>
        </w:rPr>
        <w:t xml:space="preserve">Teachers face the same blindspot from the other side. By the time a teacher discovers which misconception broke an entire class, the exam has already happened. Intervention arrives too late.</w:t>
      </w:r>
    </w:p>
    <w:p>
      <w:pPr>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2060" w:sz="8"/>
              <w:left w:val="single" w:color="002060" w:sz="8"/>
              <w:bottom w:val="single" w:color="CCCCCC" w:sz="2"/>
              <w:right w:val="none" w:color="CCCCCC" w:sz="0"/>
            </w:tcBorders>
            <w:shd w:fill="EEF2FF" w:val="clear"/>
            <w:tcMar>
              <w:top w:type="dxa" w:w="120"/>
              <w:left w:type="dxa" w:w="200"/>
              <w:bottom w:type="dxa" w:w="120"/>
              <w:right w:type="dxa" w:w="200"/>
            </w:tcMar>
          </w:tcPr>
          <w:p>
            <w:pPr>
              <w:spacing w:before="0" w:after="60"/>
            </w:pPr>
            <w:r>
              <w:rPr>
                <w:rFonts w:ascii="Calibri" w:cs="Calibri" w:eastAsia="Calibri" w:hAnsi="Calibri"/>
                <w:b/>
                <w:bCs/>
                <w:color w:val="002060"/>
                <w:sz w:val="22"/>
                <w:szCs w:val="22"/>
              </w:rPr>
              <w:t xml:space="preserve">The core insight:</w:t>
            </w:r>
          </w:p>
          <w:p>
            <w:pPr>
              <w:spacing w:before="0" w:after="0"/>
              <w:jc w:val="both"/>
            </w:pPr>
            <w:r>
              <w:rPr>
                <w:rFonts w:ascii="Calibri" w:cs="Calibri" w:eastAsia="Calibri" w:hAnsi="Calibri"/>
                <w:color w:val="333333"/>
                <w:sz w:val="21"/>
                <w:szCs w:val="21"/>
              </w:rPr>
              <w:t xml:space="preserve">Students do not fail from lack of answers. They fail because their mental model of how concepts connect is wrong — and nobody has ever shown them that model.</w:t>
            </w:r>
          </w:p>
        </w:tc>
      </w:tr>
    </w:tbl>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Our Solution — VEKTOR Intelligence</w:t>
      </w:r>
    </w:p>
    <w:p>
      <w:pPr>
        <w:spacing w:before="60" w:after="60"/>
        <w:jc w:val="both"/>
      </w:pPr>
      <w:r>
        <w:rPr>
          <w:rFonts w:ascii="Calibri" w:cs="Calibri" w:eastAsia="Calibri" w:hAnsi="Calibri"/>
          <w:b w:val="false"/>
          <w:bCs w:val="false"/>
          <w:color w:val="000000"/>
          <w:sz w:val="22"/>
          <w:szCs w:val="22"/>
        </w:rPr>
        <w:t xml:space="preserve">VEKTOR Intelligence is a STEM intelligence platform that maps what a student currently believes as a Student Knowledge Graph (SKG), compares it against the expert-validated Domain Knowledge Graph (DKG), and renders both side-by-side in real-time WebGL. The gap between the two graphs is the lesson. The direction from one to the other is the teaching.</w:t>
      </w:r>
    </w:p>
    <w:p>
      <w:pPr>
        <w:spacing w:before="0" w:after="0"/>
      </w:pPr>
      <w:r>
        <w:t xml:space="preserve"/>
      </w:r>
    </w:p>
    <w:p>
      <w:pPr>
        <w:spacing w:before="180" w:after="60"/>
      </w:pPr>
      <w:r>
        <w:rPr>
          <w:rFonts w:ascii="Calibri" w:cs="Calibri" w:eastAsia="Calibri" w:hAnsi="Calibri"/>
          <w:b/>
          <w:bCs/>
          <w:color w:val="002060"/>
          <w:sz w:val="24"/>
          <w:szCs w:val="24"/>
        </w:rPr>
        <w:t xml:space="preserve">What makes it unique</w:t>
      </w:r>
    </w:p>
    <w:p>
      <w:pPr>
        <w:pStyle w:val="ListParagraph"/>
        <w:numPr>
          <w:ilvl w:val="0"/>
          <w:numId w:val="2"/>
        </w:numPr>
        <w:spacing w:before="60" w:after="60"/>
      </w:pPr>
      <w:r>
        <w:rPr>
          <w:rFonts w:ascii="Calibri" w:cs="Calibri" w:eastAsia="Calibri" w:hAnsi="Calibri"/>
          <w:b/>
          <w:bCs/>
          <w:color w:val="002060"/>
          <w:sz w:val="22"/>
          <w:szCs w:val="22"/>
        </w:rPr>
        <w:t xml:space="preserve">T1–T4 Knowledge Tier System: </w:t>
      </w:r>
      <w:r>
        <w:rPr>
          <w:rFonts w:ascii="Calibri" w:cs="Calibri" w:eastAsia="Calibri" w:hAnsi="Calibri"/>
          <w:color w:val="000000"/>
          <w:sz w:val="22"/>
          <w:szCs w:val="22"/>
        </w:rPr>
        <w:t xml:space="preserve">Every session classifies student understanding into one of four tiers: T1 (Aligned), T2 (Gap / Incomplete), T3 (Misconception), T4 (Fragmented). Each tier has a precise meaning and a specific intervention.</w:t>
      </w:r>
    </w:p>
    <w:p>
      <w:pPr>
        <w:pStyle w:val="ListParagraph"/>
        <w:numPr>
          <w:ilvl w:val="0"/>
          <w:numId w:val="2"/>
        </w:numPr>
        <w:spacing w:before="60" w:after="60"/>
      </w:pPr>
      <w:r>
        <w:rPr>
          <w:rFonts w:ascii="Calibri" w:cs="Calibri" w:eastAsia="Calibri" w:hAnsi="Calibri"/>
          <w:b/>
          <w:bCs/>
          <w:color w:val="002060"/>
          <w:sz w:val="22"/>
          <w:szCs w:val="22"/>
        </w:rPr>
        <w:t xml:space="preserve">RAG-powered AI Explanation: </w:t>
      </w:r>
      <w:r>
        <w:rPr>
          <w:rFonts w:ascii="Calibri" w:cs="Calibri" w:eastAsia="Calibri" w:hAnsi="Calibri"/>
          <w:color w:val="000000"/>
          <w:sz w:val="22"/>
          <w:szCs w:val="22"/>
        </w:rPr>
        <w:t xml:space="preserve">After graph comparison, matched DKG nodes (full descriptions, prerequisites, successor concepts) are injected into the Gemini prompt as context. The AI explains the gap grounded in the actual domain knowledge — not a generic re-explanation.</w:t>
      </w:r>
    </w:p>
    <w:p>
      <w:pPr>
        <w:pStyle w:val="ListParagraph"/>
        <w:numPr>
          <w:ilvl w:val="0"/>
          <w:numId w:val="2"/>
        </w:numPr>
        <w:spacing w:before="60" w:after="60"/>
      </w:pPr>
      <w:r>
        <w:rPr>
          <w:rFonts w:ascii="Calibri" w:cs="Calibri" w:eastAsia="Calibri" w:hAnsi="Calibri"/>
          <w:b/>
          <w:bCs/>
          <w:color w:val="002060"/>
          <w:sz w:val="22"/>
          <w:szCs w:val="22"/>
        </w:rPr>
        <w:t xml:space="preserve">Real-time Teacher Heatmap: </w:t>
      </w:r>
      <w:r>
        <w:rPr>
          <w:rFonts w:ascii="Calibri" w:cs="Calibri" w:eastAsia="Calibri" w:hAnsi="Calibri"/>
          <w:color w:val="000000"/>
          <w:sz w:val="22"/>
          <w:szCs w:val="22"/>
        </w:rPr>
        <w:t xml:space="preserve">Every student session fires a Firestore onSnapshot update to the teacher's dashboard. Teachers see a live heatmap of which concept nodes are misunderstood across their class — before any exam.</w:t>
      </w:r>
    </w:p>
    <w:p>
      <w:pPr>
        <w:pStyle w:val="ListParagraph"/>
        <w:numPr>
          <w:ilvl w:val="0"/>
          <w:numId w:val="2"/>
        </w:numPr>
        <w:spacing w:before="60" w:after="60"/>
      </w:pPr>
      <w:r>
        <w:rPr>
          <w:rFonts w:ascii="Calibri" w:cs="Calibri" w:eastAsia="Calibri" w:hAnsi="Calibri"/>
          <w:b/>
          <w:bCs/>
          <w:color w:val="002060"/>
          <w:sz w:val="22"/>
          <w:szCs w:val="22"/>
        </w:rPr>
        <w:t xml:space="preserve">Hierarchical 4-Role Ecosystem: </w:t>
      </w:r>
      <w:r>
        <w:rPr>
          <w:rFonts w:ascii="Calibri" w:cs="Calibri" w:eastAsia="Calibri" w:hAnsi="Calibri"/>
          <w:color w:val="000000"/>
          <w:sz w:val="22"/>
          <w:szCs w:val="22"/>
        </w:rPr>
        <w:t xml:space="preserve">Researcher → Teacher → Student → Admin. Knowledge flows downward (DKGs published by Researchers, inherited by Teachers, consumed by Students). Session data flows upward automatically.</w:t>
      </w:r>
    </w:p>
    <w:p>
      <w:pPr>
        <w:spacing w:before="0" w:after="0"/>
      </w:pPr>
      <w:r>
        <w:t xml:space="preserve"/>
      </w:r>
    </w:p>
    <w:p>
      <w:pPr>
        <w:spacing w:before="180" w:after="60"/>
      </w:pPr>
      <w:r>
        <w:rPr>
          <w:rFonts w:ascii="Calibri" w:cs="Calibri" w:eastAsia="Calibri" w:hAnsi="Calibri"/>
          <w:b/>
          <w:bCs/>
          <w:color w:val="002060"/>
          <w:sz w:val="24"/>
          <w:szCs w:val="24"/>
        </w:rPr>
        <w:t xml:space="preserve">The Three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Role</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What VEKTOR gives them</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Student</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A live map of their own mental model. Exact visualization of where it diverges from the correct graph. Targeted, directional feedback on the specific gap — not a re-explanation of the whole topic.</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Teacher</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Aggregate misconception heatmap of the entire class. Sees which concept node is most misunderstood before the exam. Can target revision and assign practice precisely.</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Researcher</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Graph data export. Study how student understanding structures evolve across sessions. Compare DKG topology across institutions and curricula. Publish and version DKGs.</w:t>
            </w:r>
          </w:p>
        </w:tc>
      </w:tr>
    </w:tbl>
    <w:p>
      <w:r>
        <w:br w:type="page"/>
      </w:r>
    </w:p>
    <w:p>
      <w:pPr>
        <w:shd w:fill="002060" w:val="clear"/>
        <w:spacing w:before="300" w:after="120"/>
        <w:ind w:left="200" w:right="200"/>
        <w:jc w:val="left"/>
      </w:pPr>
      <w:r>
        <w:rPr>
          <w:rFonts w:ascii="Calibri" w:cs="Calibri" w:eastAsia="Calibri" w:hAnsi="Calibri"/>
          <w:b/>
          <w:bCs/>
          <w:color w:val="FFFFFF"/>
          <w:sz w:val="36"/>
          <w:szCs w:val="36"/>
        </w:rPr>
        <w:t xml:space="preserve">SLIDE 3 — TECHNICAL APPROACH</w:t>
      </w:r>
    </w:p>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Technologies Involved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Layer</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Technologies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Frontend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Next.js 16 (App Router) · TypeScript · Tailwind CSS v4 · Zustand · Raw WebGL2 (no library)</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Backend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FastAPI (Python 3.11) · NetworkX · sentence-transformers (all-MiniLM-L6-v2) · Uvicorn on Railway</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AI / LLM</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Gemini 1.5 Flash (primary) · RAG pipeline with DKG context injection</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Database / Auth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Firebase Authentication (Email + Google) · Firestore (asia-south1 region)</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Hosting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Vercel (frontend) · Railway (backend + FastAPI)</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Fonts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Syne (display) · Instrument Sans (body) · DM Mono (labels/code)</w:t>
            </w:r>
          </w:p>
        </w:tc>
      </w:tr>
    </w:tbl>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5-Layer AI Engine — Implementation Methodology</w:t>
      </w:r>
    </w:p>
    <w:p>
      <w:pPr>
        <w:spacing w:before="60" w:after="60"/>
        <w:jc w:val="both"/>
      </w:pPr>
      <w:r>
        <w:rPr>
          <w:rFonts w:ascii="Calibri" w:cs="Calibri" w:eastAsia="Calibri" w:hAnsi="Calibri"/>
          <w:b w:val="false"/>
          <w:bCs w:val="false"/>
          <w:color w:val="000000"/>
          <w:sz w:val="22"/>
          <w:szCs w:val="22"/>
        </w:rPr>
        <w:t xml:space="preserve">Every student session passes through a fixed 5-layer analysis pipeline. The layers are sequential and each layer's output feeds the next.</w:t>
      </w:r>
    </w:p>
    <w:p>
      <w:pPr>
        <w:spacing w:before="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Layer</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Layer 1 — Input</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Student submits a STEM question or explanation in plain text. Subject is auto-detected or can be overridden.</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Layer 2 — Triple Extraction</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Gemini 1.5 Flash extracts relational knowledge triples from the query using a version-controlled prompt. Output: structured JSON with subject, confidence, and 2–8 triples in (concept → relation → concept) form. Validated against strict schema. 3-attempt retry with 200/400/800ms backoff. Deterministic T4 fallback if all attempts fail.</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Layer 3 — Dual Graph Construction</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Student Knowledge Graph (SKG) is built from extracted triples using NetworkX DiGraph. Domain Knowledge Graph (DKG) is loaded from Firestore JSON. Each SKG node is semantically matched to the nearest DKG node using cosine similarity via sentence-transformers (threshold: 0.72).</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Layer 4 — ML Graph Comparison</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Six graph-theoretic metrics are computed: Node Coverage, Edge Alignment, Contradiction Rate, Prerequisite Chain Coverage, Concept Depth, Missing Critical Nodes. A weighted alignment score (node×0.35 + edge×0.35 + prereq×0.30) drives the T1–T4 classifier. T3 fires when contradiction rate ≥ 0.20.</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Layer 5 — RAG Explanation</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Matched DKG nodes (labels, descriptions, prerequisite chains, successor concepts) are retrieved from the in-memory NetworkX graph and injected into the Gemini prompt as structured context. Gemini generates a precise explanation grounded in the DKG — not a generic answer. Returns explanation text + 3 adaptive path items.</w:t>
            </w:r>
          </w:p>
        </w:tc>
      </w:tr>
    </w:tbl>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System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Component</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Auth flow</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Firebase Auth (client) → JWT verified by FastAPI (server) before any session analysis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Data flow</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Next.js (Vercel) → POST /api/session/analyze → FastAPI (Railway) → Gemini API → Firestore write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Real-time updates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Firestore onSnapshot listeners push session data to teacher dashboard as it arrives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DKG storage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JSON files loaded into memory at startup as NetworkX DiGraphs. Pre-computed sentence-transformer embeddings per DKG for fast semantic matching</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DKG versioning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Each session stores the DKG version used. Researcher updates propagate via Firestore onSnapshot. Historical accuracy preserved.</w:t>
            </w:r>
          </w:p>
        </w:tc>
      </w:tr>
    </w:tbl>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Domain Knowledge Graphs 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DKG</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Details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Mathematics — Linear Algebra</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22 concept nodes · 39 directed prerequisite edges · Tiers: Foundational → Intermediate → Advanced → Expert (SVD) · Every node has 2–4 aliases for semantic matching</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Mathematics — Calculus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20 concept nodes · 36 directed prerequisite edges · From Functions/Limits up to Divergence Theorem and Stokes' Theorem</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Physics, Chemistry, Biology, CS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Planned for Phase 2. Template and tooling already built — only content authoring remains.</w:t>
            </w:r>
          </w:p>
        </w:tc>
      </w:tr>
    </w:tbl>
    <w:p>
      <w:r>
        <w:br w:type="page"/>
      </w:r>
    </w:p>
    <w:p>
      <w:pPr>
        <w:shd w:fill="002060" w:val="clear"/>
        <w:spacing w:before="300" w:after="120"/>
        <w:ind w:left="200" w:right="200"/>
        <w:jc w:val="left"/>
      </w:pPr>
      <w:r>
        <w:rPr>
          <w:rFonts w:ascii="Calibri" w:cs="Calibri" w:eastAsia="Calibri" w:hAnsi="Calibri"/>
          <w:b/>
          <w:bCs/>
          <w:color w:val="FFFFFF"/>
          <w:sz w:val="36"/>
          <w:szCs w:val="36"/>
        </w:rPr>
        <w:t xml:space="preserve">SLIDE 4 — FEASIBILITY &amp; VIABILITY</w:t>
      </w:r>
    </w:p>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3-Phase Build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Phase</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Deliverables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Phase 1 (Weeks 1–6)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Auth + Onboarding · Student Dashboard (Session, Practice, Progress) · Session Page + AI Engine · FastAPI on Railway · 2 DKGs (Mathematics — Linear Algebra + Calculus)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Phase 2 (Weeks 7–12)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Teacher Portal + real-time heatmap · Practice + Progress pages · All 5 subject DKGs · Stripe / Razorpay Pro plan integration · Adaptive learning engine tuning</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Phase 3 (Weeks 13–20)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Researcher Portal (DKG explorer, cohort comparison, export) · Admin Panel (feature flags, audit logs) · Landing page with Tesseract4D WebGL hero · Production deploy to Vercel + Railway · WCAG 2.1 AA accessibility audit</w:t>
            </w:r>
          </w:p>
        </w:tc>
      </w:tr>
    </w:tbl>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Current Build Status</w:t>
      </w:r>
    </w:p>
    <w:p>
      <w:pPr>
        <w:spacing w:before="60" w:after="60"/>
        <w:jc w:val="both"/>
      </w:pPr>
      <w:r>
        <w:rPr>
          <w:rFonts w:ascii="Calibri" w:cs="Calibri" w:eastAsia="Calibri" w:hAnsi="Calibri"/>
          <w:b w:val="false"/>
          <w:bCs w:val="false"/>
          <w:color w:val="000000"/>
          <w:sz w:val="22"/>
          <w:szCs w:val="22"/>
        </w:rPr>
        <w:t xml:space="preserve">As of Session 6 (March 2026), the following is complete or code-ready:</w:t>
      </w:r>
    </w:p>
    <w:p>
      <w:pPr>
        <w:pStyle w:val="ListParagraph"/>
        <w:numPr>
          <w:ilvl w:val="0"/>
          <w:numId w:val="2"/>
        </w:numPr>
        <w:spacing w:before="60" w:after="60"/>
      </w:pPr>
      <w:r>
        <w:rPr>
          <w:rFonts w:ascii="Calibri" w:cs="Calibri" w:eastAsia="Calibri" w:hAnsi="Calibri"/>
          <w:b/>
          <w:bCs/>
          <w:color w:val="002060"/>
          <w:sz w:val="22"/>
          <w:szCs w:val="22"/>
        </w:rPr>
        <w:t xml:space="preserve">Frontend (100% complete): </w:t>
      </w:r>
      <w:r>
        <w:rPr>
          <w:rFonts w:ascii="Calibri" w:cs="Calibri" w:eastAsia="Calibri" w:hAnsi="Calibri"/>
          <w:color w:val="000000"/>
          <w:sz w:val="22"/>
          <w:szCs w:val="22"/>
        </w:rPr>
        <w:t xml:space="preserve">All 10 pages built — Auth, Onboarding, Student Dashboard (Session/Practice/Progress), Teacher Portal (all sub-pages), Researcher Portal (all sub-pages), Settings. All run on mock data pending backend wiring.</w:t>
      </w:r>
    </w:p>
    <w:p>
      <w:pPr>
        <w:pStyle w:val="ListParagraph"/>
        <w:numPr>
          <w:ilvl w:val="0"/>
          <w:numId w:val="2"/>
        </w:numPr>
        <w:spacing w:before="60" w:after="60"/>
      </w:pPr>
      <w:r>
        <w:rPr>
          <w:rFonts w:ascii="Calibri" w:cs="Calibri" w:eastAsia="Calibri" w:hAnsi="Calibri"/>
          <w:b/>
          <w:bCs/>
          <w:color w:val="002060"/>
          <w:sz w:val="22"/>
          <w:szCs w:val="22"/>
        </w:rPr>
        <w:t xml:space="preserve">Backend (code-complete, not yet deployed): </w:t>
      </w:r>
      <w:r>
        <w:rPr>
          <w:rFonts w:ascii="Calibri" w:cs="Calibri" w:eastAsia="Calibri" w:hAnsi="Calibri"/>
          <w:color w:val="000000"/>
          <w:sz w:val="22"/>
          <w:szCs w:val="22"/>
        </w:rPr>
        <w:t xml:space="preserve">Full FastAPI application with 5-layer pipeline, 4 endpoints, 2 DKGs seeded, 62 passing tests across extractor / comparator / classifier / RAG context builder.</w:t>
      </w:r>
    </w:p>
    <w:p>
      <w:pPr>
        <w:pStyle w:val="ListParagraph"/>
        <w:numPr>
          <w:ilvl w:val="0"/>
          <w:numId w:val="2"/>
        </w:numPr>
        <w:spacing w:before="60" w:after="60"/>
      </w:pPr>
      <w:r>
        <w:rPr>
          <w:rFonts w:ascii="Calibri" w:cs="Calibri" w:eastAsia="Calibri" w:hAnsi="Calibri"/>
          <w:b/>
          <w:bCs/>
          <w:color w:val="002060"/>
          <w:sz w:val="22"/>
          <w:szCs w:val="22"/>
        </w:rPr>
        <w:t xml:space="preserve">Next step: </w:t>
      </w:r>
      <w:r>
        <w:rPr>
          <w:rFonts w:ascii="Calibri" w:cs="Calibri" w:eastAsia="Calibri" w:hAnsi="Calibri"/>
          <w:color w:val="000000"/>
          <w:sz w:val="22"/>
          <w:szCs w:val="22"/>
        </w:rPr>
        <w:t xml:space="preserve">Deploy FastAPI to Railway, wire session page to real /api/session/analyze, replace mock data with live Firestore queries.</w:t>
      </w:r>
    </w:p>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Potential Challenges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Challenge</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Mitigation</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LLM hallucination in triple extraction</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Strict JSON schema validation + 3-attempt retry (200/400/800ms backoff) + deterministic T4 fallback. Student always receives a result — never a crash.</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DKG coverage gaps for new topics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Researcher portal enables live DKG publishing and versioning. Sessions store the DKG version used. Historical accuracy preserved after any DKG update. Researchers can extend coverage at any time.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Gemini API latency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sentence-transformers model runs locally (pre-warmed at startup, ~80MB). RAG context built before any LLM call. Target: under 800ms per full session analysis on Railway.</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Firestore cold reads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DKGs loaded into memory at startup as NetworkX graphs with pre-computed embeddings. Session reads are single-document operations. Teacher heatmap uses a pre-aggregated cache field.</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Freemium enforcement</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Rate limiting enforced server-side (5 sessions/day free tier). Pro plan gating present as UI-level conditionals. Stripe/Razorpay integration is Phase 2.</w:t>
            </w:r>
          </w:p>
        </w:tc>
      </w:tr>
    </w:tbl>
    <w:p>
      <w:r>
        <w:br w:type="page"/>
      </w:r>
    </w:p>
    <w:p>
      <w:pPr>
        <w:shd w:fill="002060" w:val="clear"/>
        <w:spacing w:before="300" w:after="120"/>
        <w:ind w:left="200" w:right="200"/>
        <w:jc w:val="left"/>
      </w:pPr>
      <w:r>
        <w:rPr>
          <w:rFonts w:ascii="Calibri" w:cs="Calibri" w:eastAsia="Calibri" w:hAnsi="Calibri"/>
          <w:b/>
          <w:bCs/>
          <w:color w:val="FFFFFF"/>
          <w:sz w:val="36"/>
          <w:szCs w:val="36"/>
        </w:rPr>
        <w:t xml:space="preserve">SLIDE 5 — IMPACTS &amp; BENEFITS</w:t>
      </w:r>
    </w:p>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Impact on Target Audience</w:t>
      </w:r>
    </w:p>
    <w:p>
      <w:pPr>
        <w:pStyle w:val="ListParagraph"/>
        <w:numPr>
          <w:ilvl w:val="0"/>
          <w:numId w:val="2"/>
        </w:numPr>
        <w:spacing w:before="60" w:after="60"/>
      </w:pPr>
      <w:r>
        <w:rPr>
          <w:rFonts w:ascii="Calibri" w:cs="Calibri" w:eastAsia="Calibri" w:hAnsi="Calibri"/>
          <w:b/>
          <w:bCs/>
          <w:color w:val="002060"/>
          <w:sz w:val="22"/>
          <w:szCs w:val="22"/>
        </w:rPr>
        <w:t xml:space="preserve">Students: </w:t>
      </w:r>
      <w:r>
        <w:rPr>
          <w:rFonts w:ascii="Calibri" w:cs="Calibri" w:eastAsia="Calibri" w:hAnsi="Calibri"/>
          <w:color w:val="000000"/>
          <w:sz w:val="22"/>
          <w:szCs w:val="22"/>
        </w:rPr>
        <w:t xml:space="preserve">VEKTOR is the first platform to show the exact shape of a misconception — not just that the student is wrong, but where their mental model diverged from the truth and precisely which concept connection is missing or reversed. Live SKG vs DKG side-by-side visualization. Directional adaptive path after every session. T1–T4 tier score as a precise learning health metric.</w:t>
      </w:r>
    </w:p>
    <w:p>
      <w:pPr>
        <w:pStyle w:val="ListParagraph"/>
        <w:numPr>
          <w:ilvl w:val="0"/>
          <w:numId w:val="2"/>
        </w:numPr>
        <w:spacing w:before="60" w:after="60"/>
      </w:pPr>
      <w:r>
        <w:rPr>
          <w:rFonts w:ascii="Calibri" w:cs="Calibri" w:eastAsia="Calibri" w:hAnsi="Calibri"/>
          <w:b/>
          <w:bCs/>
          <w:color w:val="002060"/>
          <w:sz w:val="22"/>
          <w:szCs w:val="22"/>
        </w:rPr>
        <w:t xml:space="preserve">Teachers: </w:t>
      </w:r>
      <w:r>
        <w:rPr>
          <w:rFonts w:ascii="Calibri" w:cs="Calibri" w:eastAsia="Calibri" w:hAnsi="Calibri"/>
          <w:color w:val="000000"/>
          <w:sz w:val="22"/>
          <w:szCs w:val="22"/>
        </w:rPr>
        <w:t xml:space="preserve">Real-time class-wide misconception heatmap. Teachers see which concept node is affecting the most students before any exam — not after. Can assign targeted practice directly to specific T3 concept gaps. Individual student knowledge graph drill-down available at any time.</w:t>
      </w:r>
    </w:p>
    <w:p>
      <w:pPr>
        <w:pStyle w:val="ListParagraph"/>
        <w:numPr>
          <w:ilvl w:val="0"/>
          <w:numId w:val="2"/>
        </w:numPr>
        <w:spacing w:before="60" w:after="60"/>
      </w:pPr>
      <w:r>
        <w:rPr>
          <w:rFonts w:ascii="Calibri" w:cs="Calibri" w:eastAsia="Calibri" w:hAnsi="Calibri"/>
          <w:b/>
          <w:bCs/>
          <w:color w:val="002060"/>
          <w:sz w:val="22"/>
          <w:szCs w:val="22"/>
        </w:rPr>
        <w:t xml:space="preserve">Researchers: </w:t>
      </w:r>
      <w:r>
        <w:rPr>
          <w:rFonts w:ascii="Calibri" w:cs="Calibri" w:eastAsia="Calibri" w:hAnsi="Calibri"/>
          <w:color w:val="000000"/>
          <w:sz w:val="22"/>
          <w:szCs w:val="22"/>
        </w:rPr>
        <w:t xml:space="preserve">First tool for academic-grade analysis of student knowledge graph evolution. Export session data as JSON, CSV, or GraphML for use in Gephi, Cytoscape, or pandas. Compare cohort SKG overlays. Track T1/T2/T3 rates per concept node across 12-week timelines. Publish and version DKGs — the source of truth for all downstream teaching.</w:t>
      </w:r>
    </w:p>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Broader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Domain</w:t>
            </w:r>
          </w:p>
        </w:tc>
        <w:tc>
          <w:tcPr>
            <w:tcW w:type="dxa" w:w="5800"/>
            <w:tcBorders>
              <w:top w:val="single" w:color="FFFFFF" w:sz="1"/>
              <w:left w:val="single" w:color="FFFFFF" w:sz="1"/>
              <w:bottom w:val="single" w:color="FFFFFF" w:sz="1"/>
              <w:right w:val="single" w:color="FFFFFF" w:sz="1"/>
            </w:tcBorders>
            <w:shd w:fill="002060" w:val="clear"/>
            <w:tcMar>
              <w:top w:type="dxa" w:w="80"/>
              <w:left w:type="dxa" w:w="120"/>
              <w:bottom w:type="dxa" w:w="80"/>
              <w:right w:type="dxa" w:w="120"/>
            </w:tcMar>
          </w:tcPr>
          <w:p>
            <w:pPr>
              <w:spacing w:before="0" w:after="0"/>
            </w:pPr>
            <w:r>
              <w:rPr>
                <w:rFonts w:ascii="Calibri" w:cs="Calibri" w:eastAsia="Calibri" w:hAnsi="Calibri"/>
                <w:b/>
                <w:bCs/>
                <w:color w:val="FFFFFF"/>
                <w:sz w:val="21"/>
                <w:szCs w:val="21"/>
              </w:rPr>
              <w:t xml:space="preserve">Benefit</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Educational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Reduces time-to-correction for misconceptions from weeks (post-exam feedback) to minutes (post-session feedback). Students can identify and fix structural errors in their thinking before they block downstream learning.</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Economic</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Freemium model — Free tier accessible to all students. Pro plan for unlimited sessions (individual). Institutional plan for schools and coaching centres. Scalable across JEE/NEET, university, and K-12 contexts without infrastructure change.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Research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Generates the first large-scale dataset of student knowledge graphs across STEM subjects — enabling curriculum research, misconception taxonomy studies, and adaptive learning science at a scale not previously possible.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60" w:after="60"/>
            </w:pPr>
            <w:r>
              <w:rPr>
                <w:rFonts w:ascii="Calibri" w:cs="Calibri" w:eastAsia="Calibri" w:hAnsi="Calibri"/>
                <w:b/>
                <w:bCs/>
                <w:color w:val="002060"/>
                <w:sz w:val="21"/>
                <w:szCs w:val="21"/>
              </w:rPr>
              <w:t xml:space="preserve">Social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Calibri" w:cs="Calibri" w:eastAsia="Calibri" w:hAnsi="Calibri"/>
                <w:b w:val="false"/>
                <w:bCs w:val="false"/>
                <w:color w:val="000000"/>
                <w:sz w:val="21"/>
                <w:szCs w:val="21"/>
              </w:rPr>
              <w:t xml:space="preserve">Levels the playing field — a student in a small town with no access to a good tutor gets the same diagnostic precision as a student with a private coach. The platform's intelligence is the equaliser.</w:t>
            </w:r>
          </w:p>
        </w:tc>
      </w:tr>
    </w:tbl>
    <w:p>
      <w:r>
        <w:br w:type="page"/>
      </w:r>
    </w:p>
    <w:p>
      <w:pPr>
        <w:shd w:fill="002060" w:val="clear"/>
        <w:spacing w:before="300" w:after="120"/>
        <w:ind w:left="200" w:right="200"/>
        <w:jc w:val="left"/>
      </w:pPr>
      <w:r>
        <w:rPr>
          <w:rFonts w:ascii="Calibri" w:cs="Calibri" w:eastAsia="Calibri" w:hAnsi="Calibri"/>
          <w:b/>
          <w:bCs/>
          <w:color w:val="FFFFFF"/>
          <w:sz w:val="36"/>
          <w:szCs w:val="36"/>
        </w:rPr>
        <w:t xml:space="preserve">SLIDE 6 — RESEARCH &amp; REFERENCES</w:t>
      </w:r>
    </w:p>
    <w:p>
      <w:pPr>
        <w:spacing w:before="0" w:after="0"/>
      </w:pPr>
      <w:r>
        <w:t xml:space="preserve"/>
      </w:r>
    </w:p>
    <w:p>
      <w:pPr>
        <w:pBdr>
          <w:bottom w:val="single" w:color="002060" w:sz="6"/>
        </w:pBdr>
        <w:spacing w:before="240" w:after="80"/>
      </w:pPr>
      <w:r>
        <w:rPr>
          <w:rFonts w:ascii="Calibri" w:cs="Calibri" w:eastAsia="Calibri" w:hAnsi="Calibri"/>
          <w:b/>
          <w:bCs/>
          <w:color w:val="002060"/>
          <w:sz w:val="28"/>
          <w:szCs w:val="28"/>
        </w:rPr>
        <w:t xml:space="preserve">Academic Foundations</w:t>
      </w:r>
    </w:p>
    <w:p>
      <w:pPr>
        <w:spacing w:before="60" w:after="60"/>
        <w:jc w:val="both"/>
      </w:pPr>
      <w:r>
        <w:rPr>
          <w:rFonts w:ascii="Calibri" w:cs="Calibri" w:eastAsia="Calibri" w:hAnsi="Calibri"/>
          <w:b w:val="false"/>
          <w:bCs w:val="false"/>
          <w:color w:val="000000"/>
          <w:sz w:val="22"/>
          <w:szCs w:val="22"/>
        </w:rPr>
        <w:t xml:space="preserve">VEKTOR Intelligence is built on validated research across knowledge graph theory, misconception science, adaptive tutoring systems, and semantic NLP.</w:t>
      </w:r>
    </w:p>
    <w:p>
      <w:pPr>
        <w:spacing w:before="0" w:after="0"/>
      </w:pPr>
      <w:r>
        <w:t xml:space="preserve"/>
      </w:r>
    </w:p>
    <w:p>
      <w:pPr>
        <w:spacing w:before="180" w:after="60"/>
      </w:pPr>
      <w:r>
        <w:rPr>
          <w:rFonts w:ascii="Calibri" w:cs="Calibri" w:eastAsia="Calibri" w:hAnsi="Calibri"/>
          <w:b/>
          <w:bCs/>
          <w:color w:val="002060"/>
          <w:sz w:val="24"/>
          <w:szCs w:val="24"/>
        </w:rPr>
        <w:t xml:space="preserve">Knowledge Graphs &amp; Conceptual Change</w:t>
      </w:r>
    </w:p>
    <w:p>
      <w:pPr>
        <w:pStyle w:val="ListParagraph"/>
        <w:numPr>
          <w:ilvl w:val="0"/>
          <w:numId w:val="2"/>
        </w:numPr>
        <w:spacing w:before="50" w:after="50"/>
      </w:pPr>
      <w:r>
        <w:rPr>
          <w:rFonts w:ascii="Calibri" w:cs="Calibri" w:eastAsia="Calibri" w:hAnsi="Calibri"/>
          <w:color w:val="000000"/>
          <w:sz w:val="22"/>
          <w:szCs w:val="22"/>
        </w:rPr>
        <w:t xml:space="preserve">Chi, M.T.H. (2008). Three types of conceptual change: Belief revision, mental model transformation, and categorical shift. In S. Vosniadou (Ed.), International Handbook of Research on Conceptual Change. Routledge.</w:t>
      </w:r>
    </w:p>
    <w:p>
      <w:pPr>
        <w:pStyle w:val="ListParagraph"/>
        <w:numPr>
          <w:ilvl w:val="0"/>
          <w:numId w:val="2"/>
        </w:numPr>
        <w:spacing w:before="50" w:after="50"/>
      </w:pPr>
      <w:r>
        <w:rPr>
          <w:rFonts w:ascii="Calibri" w:cs="Calibri" w:eastAsia="Calibri" w:hAnsi="Calibri"/>
          <w:color w:val="000000"/>
          <w:sz w:val="22"/>
          <w:szCs w:val="22"/>
        </w:rPr>
        <w:t xml:space="preserve">Novak, J.D. &amp; Cañas, A.J. (2008). The theory underlying concept maps and how to construct and use them. IHMC CmapTools Technical Report 2006-01 Rev 01-2008.</w:t>
      </w:r>
    </w:p>
    <w:p>
      <w:pPr>
        <w:pStyle w:val="ListParagraph"/>
        <w:numPr>
          <w:ilvl w:val="0"/>
          <w:numId w:val="2"/>
        </w:numPr>
        <w:spacing w:before="50" w:after="50"/>
      </w:pPr>
      <w:r>
        <w:rPr>
          <w:rFonts w:ascii="Calibri" w:cs="Calibri" w:eastAsia="Calibri" w:hAnsi="Calibri"/>
          <w:color w:val="000000"/>
          <w:sz w:val="22"/>
          <w:szCs w:val="22"/>
        </w:rPr>
        <w:t xml:space="preserve">Hasan, R., et al. (2023). Knowledge Graph-enhanced Adaptive Learning. Journal of Educational Data Mining, 15(2).</w:t>
      </w:r>
    </w:p>
    <w:p>
      <w:pPr>
        <w:spacing w:before="0" w:after="0"/>
      </w:pPr>
      <w:r>
        <w:t xml:space="preserve"/>
      </w:r>
    </w:p>
    <w:p>
      <w:pPr>
        <w:spacing w:before="180" w:after="60"/>
      </w:pPr>
      <w:r>
        <w:rPr>
          <w:rFonts w:ascii="Calibri" w:cs="Calibri" w:eastAsia="Calibri" w:hAnsi="Calibri"/>
          <w:b/>
          <w:bCs/>
          <w:color w:val="002060"/>
          <w:sz w:val="24"/>
          <w:szCs w:val="24"/>
        </w:rPr>
        <w:t xml:space="preserve">Adaptive AI in Education</w:t>
      </w:r>
    </w:p>
    <w:p>
      <w:pPr>
        <w:pStyle w:val="ListParagraph"/>
        <w:numPr>
          <w:ilvl w:val="0"/>
          <w:numId w:val="2"/>
        </w:numPr>
        <w:spacing w:before="50" w:after="50"/>
      </w:pPr>
      <w:r>
        <w:rPr>
          <w:rFonts w:ascii="Calibri" w:cs="Calibri" w:eastAsia="Calibri" w:hAnsi="Calibri"/>
          <w:color w:val="000000"/>
          <w:sz w:val="22"/>
          <w:szCs w:val="22"/>
        </w:rPr>
        <w:t xml:space="preserve">VanLehn, K. (2011). The relative effectiveness of human tutoring, intelligent tutoring systems, and other tutoring systems. Educational Psychologist, 46(4), 197–221.</w:t>
      </w:r>
    </w:p>
    <w:p>
      <w:pPr>
        <w:pStyle w:val="ListParagraph"/>
        <w:numPr>
          <w:ilvl w:val="0"/>
          <w:numId w:val="2"/>
        </w:numPr>
        <w:spacing w:before="50" w:after="50"/>
      </w:pPr>
      <w:r>
        <w:rPr>
          <w:rFonts w:ascii="Calibri" w:cs="Calibri" w:eastAsia="Calibri" w:hAnsi="Calibri"/>
          <w:color w:val="000000"/>
          <w:sz w:val="22"/>
          <w:szCs w:val="22"/>
        </w:rPr>
        <w:t xml:space="preserve">Corbett, A.T. &amp; Anderson, J.R. (1994). Knowledge tracing: Modeling the acquisition of procedural knowledge. User Modeling and User-Adapted Interaction, 4(4), 253–278.</w:t>
      </w:r>
    </w:p>
    <w:p>
      <w:pPr>
        <w:pStyle w:val="ListParagraph"/>
        <w:numPr>
          <w:ilvl w:val="0"/>
          <w:numId w:val="2"/>
        </w:numPr>
        <w:spacing w:before="50" w:after="50"/>
      </w:pPr>
      <w:r>
        <w:rPr>
          <w:rFonts w:ascii="Calibri" w:cs="Calibri" w:eastAsia="Calibri" w:hAnsi="Calibri"/>
          <w:color w:val="000000"/>
          <w:sz w:val="22"/>
          <w:szCs w:val="22"/>
        </w:rPr>
        <w:t xml:space="preserve">Reimers, N. &amp; Gurevych, I. (2019). Sentence-BERT: Sentence embeddings using siamese BERT-networks. Proceedings of EMNLP 2019.</w:t>
      </w:r>
    </w:p>
    <w:p>
      <w:pPr>
        <w:spacing w:before="0" w:after="0"/>
      </w:pPr>
      <w:r>
        <w:t xml:space="preserve"/>
      </w:r>
    </w:p>
    <w:p>
      <w:pPr>
        <w:spacing w:before="180" w:after="60"/>
      </w:pPr>
      <w:r>
        <w:rPr>
          <w:rFonts w:ascii="Calibri" w:cs="Calibri" w:eastAsia="Calibri" w:hAnsi="Calibri"/>
          <w:b/>
          <w:bCs/>
          <w:color w:val="002060"/>
          <w:sz w:val="24"/>
          <w:szCs w:val="24"/>
        </w:rPr>
        <w:t xml:space="preserve">Tools &amp; Frameworks</w:t>
      </w:r>
    </w:p>
    <w:p>
      <w:pPr>
        <w:pStyle w:val="ListParagraph"/>
        <w:numPr>
          <w:ilvl w:val="0"/>
          <w:numId w:val="2"/>
        </w:numPr>
        <w:spacing w:before="50" w:after="50"/>
      </w:pPr>
      <w:r>
        <w:rPr>
          <w:rFonts w:ascii="Calibri" w:cs="Calibri" w:eastAsia="Calibri" w:hAnsi="Calibri"/>
          <w:color w:val="000000"/>
          <w:sz w:val="22"/>
          <w:szCs w:val="22"/>
        </w:rPr>
        <w:t xml:space="preserve">Google DeepMind. (2024). Gemini 1.5 Technical Report. Google AI. https://deepmind.google/technologies/gemini/</w:t>
      </w:r>
    </w:p>
    <w:p>
      <w:pPr>
        <w:pStyle w:val="ListParagraph"/>
        <w:numPr>
          <w:ilvl w:val="0"/>
          <w:numId w:val="2"/>
        </w:numPr>
        <w:spacing w:before="50" w:after="50"/>
      </w:pPr>
      <w:r>
        <w:rPr>
          <w:rFonts w:ascii="Calibri" w:cs="Calibri" w:eastAsia="Calibri" w:hAnsi="Calibri"/>
          <w:color w:val="000000"/>
          <w:sz w:val="22"/>
          <w:szCs w:val="22"/>
        </w:rPr>
        <w:t xml:space="preserve">Hagberg, A., Schult, D., &amp; Swart, P. (2008). Exploring network structure, dynamics, and function using NetworkX. SciPy Conference Proceedings.</w:t>
      </w:r>
    </w:p>
    <w:p>
      <w:pPr>
        <w:pStyle w:val="ListParagraph"/>
        <w:numPr>
          <w:ilvl w:val="0"/>
          <w:numId w:val="2"/>
        </w:numPr>
        <w:spacing w:before="50" w:after="50"/>
      </w:pPr>
      <w:r>
        <w:rPr>
          <w:rFonts w:ascii="Calibri" w:cs="Calibri" w:eastAsia="Calibri" w:hAnsi="Calibri"/>
          <w:color w:val="000000"/>
          <w:sz w:val="22"/>
          <w:szCs w:val="22"/>
        </w:rPr>
        <w:t xml:space="preserve">Firebase / Firestore Documentation. Google Cloud Platform, 2024. https://firebase.google.com/docs</w:t>
      </w:r>
    </w:p>
    <w:p>
      <w:pPr>
        <w:pStyle w:val="ListParagraph"/>
        <w:numPr>
          <w:ilvl w:val="0"/>
          <w:numId w:val="2"/>
        </w:numPr>
        <w:spacing w:before="50" w:after="50"/>
      </w:pPr>
      <w:r>
        <w:rPr>
          <w:rFonts w:ascii="Calibri" w:cs="Calibri" w:eastAsia="Calibri" w:hAnsi="Calibri"/>
          <w:color w:val="000000"/>
          <w:sz w:val="22"/>
          <w:szCs w:val="22"/>
        </w:rPr>
        <w:t xml:space="preserve">FastAPI Documentation. Sebastián Ramírez, 2024. https://fastapi.tiangolo.com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2026-03-20T13:12:11.860Z</dcterms:created>
  <dcterms:modified xsi:type="dcterms:W3CDTF">2026-03-20T13:12:11.861Z</dcterms:modified>
</cp:coreProperties>
</file>

<file path=docProps/custom.xml><?xml version="1.0" encoding="utf-8"?>
<Properties xmlns="http://schemas.openxmlformats.org/officeDocument/2006/custom-properties" xmlns:vt="http://schemas.openxmlformats.org/officeDocument/2006/docPropsVTypes"/>
</file>