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after="0"/>
        <w:jc w:val="center"/>
      </w:pPr>
      <w:r>
        <w:rPr>
          <w:rFonts w:ascii="Arial" w:cs="Arial" w:eastAsia="Arial" w:hAnsi="Arial"/>
          <w:b/>
          <w:bCs/>
          <w:color w:val="1A2A4A"/>
          <w:sz w:val="80"/>
          <w:szCs w:val="80"/>
        </w:rPr>
        <w:t xml:space="preserve">VEKTOR</w:t>
      </w:r>
    </w:p>
    <w:p>
      <w:pPr>
        <w:spacing w:after="0"/>
        <w:jc w:val="center"/>
      </w:pPr>
      <w:r>
        <w:rPr>
          <w:rFonts w:ascii="Arial" w:cs="Arial" w:eastAsia="Arial" w:hAnsi="Arial"/>
          <w:b/>
          <w:bCs/>
          <w:color w:val="0D7A6E"/>
          <w:sz w:val="44"/>
          <w:szCs w:val="44"/>
        </w:rPr>
        <w:t xml:space="preserve">INTELLIGENCE</w:t>
      </w:r>
    </w:p>
    <w:p>
      <w:pPr>
        <w:spacing w:after="0"/>
        <w:jc w:val="center"/>
      </w:pPr>
      <w:r>
        <w:rPr>
          <w:rFonts w:ascii="Arial" w:cs="Arial" w:eastAsia="Arial" w:hAnsi="Arial"/>
          <w:b/>
          <w:bCs/>
          <w:color w:val="1A2A4A"/>
          <w:sz w:val="44"/>
          <w:szCs w:val="44"/>
        </w:rPr>
        <w:t xml:space="preserve">VI</w:t>
      </w:r>
    </w:p>
    <w:p>
      <w:pPr>
        <w:spacing w:before="120" w:after="0"/>
      </w:pPr>
    </w:p>
    <w:p>
      <w:pPr>
        <w:pBdr>
          <w:top w:val="single" w:color="C8D4E8" w:sz="4" w:space="2"/>
          <w:bottom w:val="single" w:color="C8D4E8" w:sz="4" w:space="2"/>
        </w:pBdr>
        <w:spacing w:before="80" w:after="80"/>
        <w:jc w:val="center"/>
      </w:pPr>
      <w:r>
        <w:rPr>
          <w:rFonts w:ascii="Arial" w:cs="Arial" w:eastAsia="Arial" w:hAnsi="Arial"/>
          <w:color w:val="555555"/>
          <w:sz w:val="28"/>
          <w:szCs w:val="28"/>
        </w:rPr>
        <w:t xml:space="preserve">Build Log &amp; Developer Documentation</w:t>
      </w:r>
    </w:p>
    <w:p>
      <w:pPr>
        <w:spacing w:before="80" w:after="0"/>
      </w:pPr>
    </w:p>
    <w:p>
      <w:pPr>
        <w:jc w:val="center"/>
      </w:pPr>
      <w:r>
        <w:rPr>
          <w:rFonts w:ascii="Arial" w:cs="Arial" w:eastAsia="Arial" w:hAnsi="Arial"/>
          <w:b/>
          <w:bCs/>
          <w:color w:val="1A2A4A"/>
          <w:sz w:val="28"/>
          <w:szCs w:val="28"/>
        </w:rPr>
        <w:t xml:space="preserve">Session 5  —  March 19, 2026</w:t>
      </w:r>
    </w:p>
    <w:p>
      <w:pPr>
        <w:spacing w:before="60" w:after="0"/>
      </w:pPr>
    </w:p>
    <w:p>
      <w:pPr>
        <w:jc w:val="center"/>
      </w:pPr>
      <w:r>
        <w:rPr>
          <w:rFonts w:ascii="Arial" w:cs="Arial" w:eastAsia="Arial" w:hAnsi="Arial"/>
          <w:color w:val="0D7A6E"/>
          <w:sz w:val="22"/>
          <w:szCs w:val="22"/>
        </w:rPr>
        <w:t xml:space="preserve">Direction for every mind.</w:t>
      </w:r>
    </w:p>
    <w:p>
      <w:pPr>
        <w:spacing w:before="60" w:after="0"/>
      </w:pPr>
    </w:p>
    <w:p>
      <w:pPr>
        <w:jc w:val="center"/>
      </w:pPr>
      <w:r>
        <w:rPr>
          <w:rFonts w:ascii="Courier New" w:cs="Courier New" w:eastAsia="Courier New" w:hAnsi="Courier New"/>
          <w:color w:val="888888"/>
          <w:sz w:val="18"/>
          <w:szCs w:val="18"/>
        </w:rPr>
        <w:t xml:space="preserve">SIG Reality Spectra  ·  VIT Pune, Bibwewadi Campus</w:t>
      </w:r>
    </w:p>
    <w:p>
      <w:r>
        <w:br w:type="page"/>
      </w:r>
    </w:p>
    <w:p>
      <w:pPr>
        <w:pStyle w:val="Heading1"/>
        <w:spacing w:before="360" w:after="120"/>
      </w:pPr>
      <w:r>
        <w:rPr>
          <w:rFonts w:ascii="Arial" w:cs="Arial" w:eastAsia="Arial" w:hAnsi="Arial"/>
          <w:b/>
          <w:bCs/>
          <w:color w:val="1A2A4A"/>
          <w:sz w:val="34"/>
          <w:szCs w:val="34"/>
        </w:rPr>
        <w:t xml:space="preserve">1. Session 5 Overview</w:t>
      </w:r>
    </w:p>
    <w:p>
      <w:pPr>
        <w:spacing w:before="80" w:after="80"/>
      </w:pPr>
      <w:r>
        <w:rPr>
          <w:rFonts w:ascii="Arial" w:cs="Arial" w:eastAsia="Arial" w:hAnsi="Arial"/>
          <w:color w:val="333333"/>
          <w:sz w:val="22"/>
          <w:szCs w:val="22"/>
        </w:rPr>
        <w:t xml:space="preserve">Session 5 focused on completing the full role-based frontend for VEKTOR Intelligence by building all sub-pages for the Teacher and Researcher portals. The goal was to bring both portals to the same level of completeness as the Student Dashboard — every navigation link in both layout.tsx files now resolves to a fully implemented, fully mock-data-backed page.</w:t>
      </w:r>
    </w:p>
    <w:p>
      <w:pPr>
        <w:spacing w:before="80" w:after="80"/>
      </w:pPr>
      <w:r>
        <w:rPr>
          <w:rFonts w:ascii="Arial" w:cs="Arial" w:eastAsia="Arial" w:hAnsi="Arial"/>
          <w:color w:val="333333"/>
          <w:sz w:val="22"/>
          <w:szCs w:val="22"/>
        </w:rPr>
        <w:t xml:space="preserve">Session 4 had scaffolded the Teacher and Researcher dashboards (page.tsx) and established the top-level route architecture (/teacher and /researcher as independent layout trees). Session 5 builds on that foundation by adding all the inner pages these layouts navigate to.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Date</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March 19, 2026</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Session type</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Frontend — Role Dashboard Completion</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Build stage</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Phase 2 — Complete product frontend</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Data mode</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Mock data with // REPLACE: Firestore stubs throughout</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Backend</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Not deployed — deferred until frontend is stable</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New files</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9 new page.tsx files across /teacher and /researcher route trees</w:t>
            </w:r>
          </w:p>
        </w:tc>
      </w:tr>
    </w:tbl>
    <w:p>
      <w:pPr>
        <w:pStyle w:val="Heading1"/>
        <w:spacing w:before="360" w:after="120"/>
      </w:pPr>
      <w:r>
        <w:rPr>
          <w:rFonts w:ascii="Arial" w:cs="Arial" w:eastAsia="Arial" w:hAnsi="Arial"/>
          <w:b/>
          <w:bCs/>
          <w:color w:val="1A2A4A"/>
          <w:sz w:val="34"/>
          <w:szCs w:val="34"/>
        </w:rPr>
        <w:t xml:space="preserve">2. Teacher Portal — Pages Built</w:t>
      </w:r>
    </w:p>
    <w:p>
      <w:pPr>
        <w:spacing w:before="80" w:after="80"/>
      </w:pPr>
      <w:r>
        <w:rPr>
          <w:rFonts w:ascii="Arial" w:cs="Arial" w:eastAsia="Arial" w:hAnsi="Arial"/>
          <w:color w:val="333333"/>
          <w:sz w:val="22"/>
          <w:szCs w:val="22"/>
        </w:rPr>
        <w:t xml:space="preserve">Four sub-pages were built for the Teacher portal, covering all nav items defined in the teacher layout.tsx.</w:t>
      </w:r>
    </w:p>
    <w:p>
      <w:pPr>
        <w:pStyle w:val="Heading2"/>
        <w:spacing w:before="280" w:after="80"/>
      </w:pPr>
      <w:r>
        <w:rPr>
          <w:rFonts w:ascii="Arial" w:cs="Arial" w:eastAsia="Arial" w:hAnsi="Arial"/>
          <w:b/>
          <w:bCs/>
          <w:color w:val="1A2A4A"/>
          <w:sz w:val="26"/>
          <w:szCs w:val="26"/>
        </w:rPr>
        <w:t xml:space="preserve">2.1 src/app/teacher/heatmap/page.tsx — New</w:t>
      </w:r>
    </w:p>
    <w:p>
      <w:pPr>
        <w:spacing w:before="80" w:after="80"/>
      </w:pPr>
      <w:r>
        <w:rPr>
          <w:rFonts w:ascii="Arial" w:cs="Arial" w:eastAsia="Arial" w:hAnsi="Arial"/>
          <w:color w:val="333333"/>
          <w:sz w:val="22"/>
          <w:szCs w:val="22"/>
        </w:rPr>
        <w:t xml:space="preserve">The Live Heatmap page renders the full class misconception heatmap as an interactive CSS grid. Each cell represents one DKG concept node for the active subject.</w:t>
      </w:r>
    </w:p>
    <w:p>
      <w:pPr>
        <w:pStyle w:val="ListParagraph"/>
        <w:numPr>
          <w:ilvl w:val="0"/>
          <w:numId w:val="2"/>
        </w:numPr>
        <w:spacing w:before="40" w:after="40"/>
      </w:pPr>
      <w:r>
        <w:rPr>
          <w:rFonts w:ascii="Arial" w:cs="Arial" w:eastAsia="Arial" w:hAnsi="Arial"/>
          <w:b w:val="false"/>
          <w:bCs w:val="false"/>
          <w:color w:val="333333"/>
          <w:sz w:val="22"/>
          <w:szCs w:val="22"/>
        </w:rPr>
        <w:t xml:space="preserve">Subject tab switcher — Mathematics, Physics, Chemistry, Biology, Computer Science, each loading its own heatmap data. Tab badges show T3 count per subject.</w:t>
      </w:r>
    </w:p>
    <w:p>
      <w:pPr>
        <w:pStyle w:val="ListParagraph"/>
        <w:numPr>
          <w:ilvl w:val="0"/>
          <w:numId w:val="2"/>
        </w:numPr>
        <w:spacing w:before="40" w:after="40"/>
      </w:pPr>
      <w:r>
        <w:rPr>
          <w:rFonts w:ascii="Arial" w:cs="Arial" w:eastAsia="Arial" w:hAnsi="Arial"/>
          <w:b w:val="false"/>
          <w:bCs w:val="false"/>
          <w:color w:val="333333"/>
          <w:sz w:val="22"/>
          <w:szCs w:val="22"/>
        </w:rPr>
        <w:t xml:space="preserve">Sort controls — sort cells by T3 count (default), T2, T1, or A–Z. T3 sort surfaces the highest-priority misconceptions immediately.</w:t>
      </w:r>
    </w:p>
    <w:p>
      <w:pPr>
        <w:pStyle w:val="ListParagraph"/>
        <w:numPr>
          <w:ilvl w:val="0"/>
          <w:numId w:val="2"/>
        </w:numPr>
        <w:spacing w:before="40" w:after="40"/>
      </w:pPr>
      <w:r>
        <w:rPr>
          <w:rFonts w:ascii="Arial" w:cs="Arial" w:eastAsia="Arial" w:hAnsi="Arial"/>
          <w:b w:val="false"/>
          <w:bCs w:val="false"/>
          <w:color w:val="333333"/>
          <w:sz w:val="22"/>
          <w:szCs w:val="22"/>
        </w:rPr>
        <w:t xml:space="preserve">HeatCell component — each cell's background color and border are computed from the T3/T2/T1 ratio of that concept node. Cells with T3 ratio above 0.3 render red. Cells with T1 ratio above 0.5 render lime. A mini tier bar at the bottom of each cell shows the distribution.</w:t>
      </w:r>
    </w:p>
    <w:p>
      <w:pPr>
        <w:pStyle w:val="ListParagraph"/>
        <w:numPr>
          <w:ilvl w:val="0"/>
          <w:numId w:val="2"/>
        </w:numPr>
        <w:spacing w:before="40" w:after="40"/>
      </w:pPr>
      <w:r>
        <w:rPr>
          <w:rFonts w:ascii="Arial" w:cs="Arial" w:eastAsia="Arial" w:hAnsi="Arial"/>
          <w:b w:val="false"/>
          <w:bCs w:val="false"/>
          <w:color w:val="333333"/>
          <w:sz w:val="22"/>
          <w:szCs w:val="22"/>
        </w:rPr>
        <w:t xml:space="preserve">Fixed tooltip — hovering any cell shows a fixed panel (top-right) with per-tier student counts and percentage breakdowns.</w:t>
      </w:r>
    </w:p>
    <w:p>
      <w:pPr>
        <w:pStyle w:val="ListParagraph"/>
        <w:numPr>
          <w:ilvl w:val="0"/>
          <w:numId w:val="2"/>
        </w:numPr>
        <w:spacing w:before="40" w:after="40"/>
      </w:pPr>
      <w:r>
        <w:rPr>
          <w:rFonts w:ascii="Arial" w:cs="Arial" w:eastAsia="Arial" w:hAnsi="Arial"/>
          <w:b w:val="false"/>
          <w:bCs w:val="false"/>
          <w:color w:val="333333"/>
          <w:sz w:val="22"/>
          <w:szCs w:val="22"/>
        </w:rPr>
        <w:t xml:space="preserve">Three summary cards at the top — total T1 aligned, T2 gaps, T3 misconceptions across all nodes for the active subject.</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onSnapshot listener on classes/{classId} watching heatmapCache field. The heatmapCache in the class document is pre-aggregated on every session write, so the heatmap is a single document read regardless of class size.</w:t>
      </w:r>
    </w:p>
    <w:p>
      <w:pPr>
        <w:pStyle w:val="Heading2"/>
        <w:spacing w:before="280" w:after="80"/>
      </w:pPr>
      <w:r>
        <w:rPr>
          <w:rFonts w:ascii="Arial" w:cs="Arial" w:eastAsia="Arial" w:hAnsi="Arial"/>
          <w:b/>
          <w:bCs/>
          <w:color w:val="1A2A4A"/>
          <w:sz w:val="26"/>
          <w:szCs w:val="26"/>
        </w:rPr>
        <w:t xml:space="preserve">2.2 src/app/teacher/students/page.tsx — New</w:t>
      </w:r>
    </w:p>
    <w:p>
      <w:pPr>
        <w:spacing w:before="80" w:after="80"/>
      </w:pPr>
      <w:r>
        <w:rPr>
          <w:rFonts w:ascii="Arial" w:cs="Arial" w:eastAsia="Arial" w:hAnsi="Arial"/>
          <w:color w:val="333333"/>
          <w:sz w:val="22"/>
          <w:szCs w:val="22"/>
        </w:rPr>
        <w:t xml:space="preserve">The Student Roster page provides a sortable, searchable table of all students enrolled in the teacher's class, with a slide-in detail panel for individual student inspection.</w:t>
      </w:r>
    </w:p>
    <w:p>
      <w:pPr>
        <w:pStyle w:val="ListParagraph"/>
        <w:numPr>
          <w:ilvl w:val="0"/>
          <w:numId w:val="2"/>
        </w:numPr>
        <w:spacing w:before="40" w:after="40"/>
      </w:pPr>
      <w:r>
        <w:rPr>
          <w:rFonts w:ascii="Arial" w:cs="Arial" w:eastAsia="Arial" w:hAnsi="Arial"/>
          <w:b w:val="false"/>
          <w:bCs w:val="false"/>
          <w:color w:val="333333"/>
          <w:sz w:val="22"/>
          <w:szCs w:val="22"/>
        </w:rPr>
        <w:t xml:space="preserve">Sortable table — columns for student name, last session time, tier, total sessions, and critical misconception. Click any column header to sort ascending or descending.</w:t>
      </w:r>
    </w:p>
    <w:p>
      <w:pPr>
        <w:pStyle w:val="ListParagraph"/>
        <w:numPr>
          <w:ilvl w:val="0"/>
          <w:numId w:val="2"/>
        </w:numPr>
        <w:spacing w:before="40" w:after="40"/>
      </w:pPr>
      <w:r>
        <w:rPr>
          <w:rFonts w:ascii="Arial" w:cs="Arial" w:eastAsia="Arial" w:hAnsi="Arial"/>
          <w:b w:val="false"/>
          <w:bCs w:val="false"/>
          <w:color w:val="333333"/>
          <w:sz w:val="22"/>
          <w:szCs w:val="22"/>
        </w:rPr>
        <w:t xml:space="preserve">Search input — filters roster by student name in real time.</w:t>
      </w:r>
    </w:p>
    <w:p>
      <w:pPr>
        <w:pStyle w:val="ListParagraph"/>
        <w:numPr>
          <w:ilvl w:val="0"/>
          <w:numId w:val="2"/>
        </w:numPr>
        <w:spacing w:before="40" w:after="40"/>
      </w:pPr>
      <w:r>
        <w:rPr>
          <w:rFonts w:ascii="Arial" w:cs="Arial" w:eastAsia="Arial" w:hAnsi="Arial"/>
          <w:b w:val="false"/>
          <w:bCs w:val="false"/>
          <w:color w:val="333333"/>
          <w:sz w:val="22"/>
          <w:szCs w:val="22"/>
        </w:rPr>
        <w:t xml:space="preserve">Active indicator — students who submitted a session within the last 30 minutes show a pulsing lime dot next to their name.</w:t>
      </w:r>
    </w:p>
    <w:p>
      <w:pPr>
        <w:pStyle w:val="ListParagraph"/>
        <w:numPr>
          <w:ilvl w:val="0"/>
          <w:numId w:val="2"/>
        </w:numPr>
        <w:spacing w:before="40" w:after="40"/>
      </w:pPr>
      <w:r>
        <w:rPr>
          <w:rFonts w:ascii="Arial" w:cs="Arial" w:eastAsia="Arial" w:hAnsi="Arial"/>
          <w:b w:val="false"/>
          <w:bCs w:val="false"/>
          <w:color w:val="333333"/>
          <w:sz w:val="22"/>
          <w:szCs w:val="22"/>
        </w:rPr>
        <w:t xml:space="preserve">Slide-in student panel — clicking any row opens a full-height right panel showing the student's T3 misconceptions (with 'Structural error blocking downstream concepts' description), T2 gaps, and last 3 sessions with tier badges and aligned/T3 counts.</w:t>
      </w:r>
    </w:p>
    <w:p>
      <w:pPr>
        <w:pStyle w:val="ListParagraph"/>
        <w:numPr>
          <w:ilvl w:val="0"/>
          <w:numId w:val="2"/>
        </w:numPr>
        <w:spacing w:before="40" w:after="40"/>
      </w:pPr>
      <w:r>
        <w:rPr>
          <w:rFonts w:ascii="Arial" w:cs="Arial" w:eastAsia="Arial" w:hAnsi="Arial"/>
          <w:b w:val="false"/>
          <w:bCs w:val="false"/>
          <w:color w:val="333333"/>
          <w:sz w:val="22"/>
          <w:szCs w:val="22"/>
        </w:rPr>
        <w:t xml:space="preserve">Assign practice CTA — the panel footer has an 'Assign Practice Task' button. In the live product this opens the assignment form pre-targeted to the student's T3 concept nodes.</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onSnapshot on the class doc provides studentIds, then batch getDoc calls fetch each student's user document. Sessions are queried per student when the panel opens.</w:t>
      </w:r>
    </w:p>
    <w:p>
      <w:pPr>
        <w:pStyle w:val="Heading2"/>
        <w:spacing w:before="280" w:after="80"/>
      </w:pPr>
      <w:r>
        <w:rPr>
          <w:rFonts w:ascii="Arial" w:cs="Arial" w:eastAsia="Arial" w:hAnsi="Arial"/>
          <w:b/>
          <w:bCs/>
          <w:color w:val="1A2A4A"/>
          <w:sz w:val="26"/>
          <w:szCs w:val="26"/>
        </w:rPr>
        <w:t xml:space="preserve">2.3 src/app/teacher/assignments/page.tsx — New</w:t>
      </w:r>
    </w:p>
    <w:p>
      <w:pPr>
        <w:spacing w:before="80" w:after="80"/>
      </w:pPr>
      <w:r>
        <w:rPr>
          <w:rFonts w:ascii="Arial" w:cs="Arial" w:eastAsia="Arial" w:hAnsi="Arial"/>
          <w:color w:val="333333"/>
          <w:sz w:val="22"/>
          <w:szCs w:val="22"/>
        </w:rPr>
        <w:t xml:space="preserve">The Assignments page lets teachers create, view, and manage practice assignments sent to their class. It replaces the right sidebar panel from the prototype HTML.</w:t>
      </w:r>
    </w:p>
    <w:p>
      <w:pPr>
        <w:pStyle w:val="ListParagraph"/>
        <w:numPr>
          <w:ilvl w:val="0"/>
          <w:numId w:val="2"/>
        </w:numPr>
        <w:spacing w:before="40" w:after="40"/>
      </w:pPr>
      <w:r>
        <w:rPr>
          <w:rFonts w:ascii="Arial" w:cs="Arial" w:eastAsia="Arial" w:hAnsi="Arial"/>
          <w:b w:val="false"/>
          <w:bCs w:val="false"/>
          <w:color w:val="333333"/>
          <w:sz w:val="22"/>
          <w:szCs w:val="22"/>
        </w:rPr>
        <w:t xml:space="preserve">Task cards — each assignment shows its type badge (practice / quiz / review), subject, concept nodes targeted, a live completion progress bar with N/total count, and days remaining until due. Past assignments are shown at 60% opacity in a separate section.</w:t>
      </w:r>
    </w:p>
    <w:p>
      <w:pPr>
        <w:pStyle w:val="ListParagraph"/>
        <w:numPr>
          <w:ilvl w:val="0"/>
          <w:numId w:val="2"/>
        </w:numPr>
        <w:spacing w:before="40" w:after="40"/>
      </w:pPr>
      <w:r>
        <w:rPr>
          <w:rFonts w:ascii="Arial" w:cs="Arial" w:eastAsia="Arial" w:hAnsi="Arial"/>
          <w:b w:val="false"/>
          <w:bCs w:val="false"/>
          <w:color w:val="333333"/>
          <w:sz w:val="22"/>
          <w:szCs w:val="22"/>
        </w:rPr>
        <w:t xml:space="preserve">Type filter tabs — all / practice / quiz / review filter the visible assignment list.</w:t>
      </w:r>
    </w:p>
    <w:p>
      <w:pPr>
        <w:pStyle w:val="ListParagraph"/>
        <w:numPr>
          <w:ilvl w:val="0"/>
          <w:numId w:val="2"/>
        </w:numPr>
        <w:spacing w:before="40" w:after="40"/>
      </w:pPr>
      <w:r>
        <w:rPr>
          <w:rFonts w:ascii="Arial" w:cs="Arial" w:eastAsia="Arial" w:hAnsi="Arial"/>
          <w:b w:val="false"/>
          <w:bCs w:val="false"/>
          <w:color w:val="333333"/>
          <w:sz w:val="22"/>
          <w:szCs w:val="22"/>
        </w:rPr>
        <w:t xml:space="preserve">Create form — inline form (no modal, no page nav) with title input, due date picker, type selector, subject selector, and a concept chip grid. Selecting concept chips marks which DKG nodes the assignment targets. The form validates that title, due date, and at least one concept are present before saving.</w:t>
      </w:r>
    </w:p>
    <w:p>
      <w:pPr>
        <w:pStyle w:val="ListParagraph"/>
        <w:numPr>
          <w:ilvl w:val="0"/>
          <w:numId w:val="2"/>
        </w:numPr>
        <w:spacing w:before="40" w:after="40"/>
      </w:pPr>
      <w:r>
        <w:rPr>
          <w:rFonts w:ascii="Arial" w:cs="Arial" w:eastAsia="Arial" w:hAnsi="Arial"/>
          <w:b w:val="false"/>
          <w:bCs w:val="false"/>
          <w:color w:val="333333"/>
          <w:sz w:val="22"/>
          <w:szCs w:val="22"/>
        </w:rPr>
        <w:t xml:space="preserve">Delete — each task card has a quiet ✕ button. Two-step confirm is enforced in the live product via the spec's destructive action rule.</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assignments live in the tasks array on the class document (or optionally a subcollection tasks/ under classes/{classId}). addDoc and deleteDoc stubs are marked with // REPLACE comments.</w:t>
      </w:r>
    </w:p>
    <w:p>
      <w:pPr>
        <w:pStyle w:val="Heading2"/>
        <w:spacing w:before="280" w:after="80"/>
      </w:pPr>
      <w:r>
        <w:rPr>
          <w:rFonts w:ascii="Arial" w:cs="Arial" w:eastAsia="Arial" w:hAnsi="Arial"/>
          <w:b/>
          <w:bCs/>
          <w:color w:val="1A2A4A"/>
          <w:sz w:val="26"/>
          <w:szCs w:val="26"/>
        </w:rPr>
        <w:t xml:space="preserve">2.4 src/app/teacher/history/page.tsx — New</w:t>
      </w:r>
    </w:p>
    <w:p>
      <w:pPr>
        <w:spacing w:before="80" w:after="80"/>
      </w:pPr>
      <w:r>
        <w:rPr>
          <w:rFonts w:ascii="Arial" w:cs="Arial" w:eastAsia="Arial" w:hAnsi="Arial"/>
          <w:color w:val="333333"/>
          <w:sz w:val="22"/>
          <w:szCs w:val="22"/>
        </w:rPr>
        <w:t xml:space="preserve">The Class History page shows all sessions submitted by students in the teacher's class, grouped by day, with per-session expandable detail rows.</w:t>
      </w:r>
    </w:p>
    <w:p>
      <w:pPr>
        <w:pStyle w:val="ListParagraph"/>
        <w:numPr>
          <w:ilvl w:val="0"/>
          <w:numId w:val="2"/>
        </w:numPr>
        <w:spacing w:before="40" w:after="40"/>
      </w:pPr>
      <w:r>
        <w:rPr>
          <w:rFonts w:ascii="Arial" w:cs="Arial" w:eastAsia="Arial" w:hAnsi="Arial"/>
          <w:b w:val="false"/>
          <w:bCs w:val="false"/>
          <w:color w:val="333333"/>
          <w:sz w:val="22"/>
          <w:szCs w:val="22"/>
        </w:rPr>
        <w:t xml:space="preserve">Grouped by day — sessions are partitioned into date groups with a divider showing the date label and session count for that day.</w:t>
      </w:r>
    </w:p>
    <w:p>
      <w:pPr>
        <w:pStyle w:val="ListParagraph"/>
        <w:numPr>
          <w:ilvl w:val="0"/>
          <w:numId w:val="2"/>
        </w:numPr>
        <w:spacing w:before="40" w:after="40"/>
      </w:pPr>
      <w:r>
        <w:rPr>
          <w:rFonts w:ascii="Arial" w:cs="Arial" w:eastAsia="Arial" w:hAnsi="Arial"/>
          <w:b w:val="false"/>
          <w:bCs w:val="false"/>
          <w:color w:val="333333"/>
          <w:sz w:val="22"/>
          <w:szCs w:val="22"/>
        </w:rPr>
        <w:t xml:space="preserve">Expandable rows — clicking any session row expands it inline to show four stat cards: Concepts Aligned, Gaps Found, T3 Misconceptions, and Duration. The DKG version used in the session is shown in the expanded footer.</w:t>
      </w:r>
    </w:p>
    <w:p>
      <w:pPr>
        <w:pStyle w:val="ListParagraph"/>
        <w:numPr>
          <w:ilvl w:val="0"/>
          <w:numId w:val="2"/>
        </w:numPr>
        <w:spacing w:before="40" w:after="40"/>
      </w:pPr>
      <w:r>
        <w:rPr>
          <w:rFonts w:ascii="Arial" w:cs="Arial" w:eastAsia="Arial" w:hAnsi="Arial"/>
          <w:b w:val="false"/>
          <w:bCs w:val="false"/>
          <w:color w:val="333333"/>
          <w:sz w:val="22"/>
          <w:szCs w:val="22"/>
        </w:rPr>
        <w:t xml:space="preserve">Filter bar — search by student name or query text, filter by tier (T1/T2/T3/T4), and filter by subject via a select dropdown. All filters combine.</w:t>
      </w:r>
    </w:p>
    <w:p>
      <w:pPr>
        <w:pStyle w:val="ListParagraph"/>
        <w:numPr>
          <w:ilvl w:val="0"/>
          <w:numId w:val="2"/>
        </w:numPr>
        <w:spacing w:before="40" w:after="40"/>
      </w:pPr>
      <w:r>
        <w:rPr>
          <w:rFonts w:ascii="Arial" w:cs="Arial" w:eastAsia="Arial" w:hAnsi="Arial"/>
          <w:b w:val="false"/>
          <w:bCs w:val="false"/>
          <w:color w:val="333333"/>
          <w:sz w:val="22"/>
          <w:szCs w:val="22"/>
        </w:rPr>
        <w:t xml:space="preserve">Four summary stat cards at the top — Total Sessions, T3 Sessions, Avg Concepts Aligned, Students Active (unique UIDs).</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query(collection(db,'sessions'), where('classId','in',user.classIds), orderBy('createdAt','desc'), limit(200)). Student names are batch-resolved via getDoc on users/{uid}.</w:t>
      </w:r>
    </w:p>
    <w:p>
      <w:pPr>
        <w:pStyle w:val="Heading1"/>
        <w:spacing w:before="360" w:after="120"/>
      </w:pPr>
      <w:r>
        <w:rPr>
          <w:rFonts w:ascii="Arial" w:cs="Arial" w:eastAsia="Arial" w:hAnsi="Arial"/>
          <w:b/>
          <w:bCs/>
          <w:color w:val="1A2A4A"/>
          <w:sz w:val="34"/>
          <w:szCs w:val="34"/>
        </w:rPr>
        <w:t xml:space="preserve">3. Researcher Portal — Pages Built</w:t>
      </w:r>
    </w:p>
    <w:p>
      <w:pPr>
        <w:spacing w:before="80" w:after="80"/>
      </w:pPr>
      <w:r>
        <w:rPr>
          <w:rFonts w:ascii="Arial" w:cs="Arial" w:eastAsia="Arial" w:hAnsi="Arial"/>
          <w:color w:val="333333"/>
          <w:sz w:val="22"/>
          <w:szCs w:val="22"/>
        </w:rPr>
        <w:t xml:space="preserve">Five sub-pages were built for the Researcher portal, matching all navigation items defined in the researcher layout.tsx.</w:t>
      </w:r>
    </w:p>
    <w:p>
      <w:pPr>
        <w:pStyle w:val="Heading2"/>
        <w:spacing w:before="280" w:after="80"/>
      </w:pPr>
      <w:r>
        <w:rPr>
          <w:rFonts w:ascii="Arial" w:cs="Arial" w:eastAsia="Arial" w:hAnsi="Arial"/>
          <w:b/>
          <w:bCs/>
          <w:color w:val="1A2A4A"/>
          <w:sz w:val="26"/>
          <w:szCs w:val="26"/>
        </w:rPr>
        <w:t xml:space="preserve">3.1 src/app/researcher/dkg/page.tsx — New</w:t>
      </w:r>
    </w:p>
    <w:p>
      <w:pPr>
        <w:spacing w:before="80" w:after="80"/>
      </w:pPr>
      <w:r>
        <w:rPr>
          <w:rFonts w:ascii="Arial" w:cs="Arial" w:eastAsia="Arial" w:hAnsi="Arial"/>
          <w:color w:val="333333"/>
          <w:sz w:val="22"/>
          <w:szCs w:val="22"/>
        </w:rPr>
        <w:t xml:space="preserve">The DKG Explorer is the primary research tool — a full animated FlowField canvas showing the Domain Knowledge Graph for the selected subject, alongside a node list table.</w:t>
      </w:r>
    </w:p>
    <w:p>
      <w:pPr>
        <w:pStyle w:val="ListParagraph"/>
        <w:numPr>
          <w:ilvl w:val="0"/>
          <w:numId w:val="2"/>
        </w:numPr>
        <w:spacing w:before="40" w:after="40"/>
      </w:pPr>
      <w:r>
        <w:rPr>
          <w:rFonts w:ascii="Arial" w:cs="Arial" w:eastAsia="Arial" w:hAnsi="Arial"/>
          <w:b w:val="false"/>
          <w:bCs w:val="false"/>
          <w:color w:val="333333"/>
          <w:sz w:val="22"/>
          <w:szCs w:val="22"/>
        </w:rPr>
        <w:t xml:space="preserve">FlowField canvas — raw Canvas 2D animation loop (requestAnimationFrame). 80 flow particles travel along DKG edges at varying speeds, with particle color matching the tier color of the source node. Edges render as thin lines at 6% white opacity, brightening to 40% teal when the hovered or selected node is one of their endpoints.</w:t>
      </w:r>
    </w:p>
    <w:p>
      <w:pPr>
        <w:pStyle w:val="ListParagraph"/>
        <w:numPr>
          <w:ilvl w:val="0"/>
          <w:numId w:val="2"/>
        </w:numPr>
        <w:spacing w:before="40" w:after="40"/>
      </w:pPr>
      <w:r>
        <w:rPr>
          <w:rFonts w:ascii="Arial" w:cs="Arial" w:eastAsia="Arial" w:hAnsi="Arial"/>
          <w:b w:val="false"/>
          <w:bCs w:val="false"/>
          <w:color w:val="333333"/>
          <w:sz w:val="22"/>
          <w:szCs w:val="22"/>
        </w:rPr>
        <w:t xml:space="preserve">Node rendering — each node is a circle with a dim halo, colored by tier (foundational: lime, intermediate: blue, advanced: amber, expert: purple). Hovered nodes show a shadow glow and a tooltip showing the node's description and prerequisite count. Selected nodes show a stronger glow and persist the tooltip until deselected.</w:t>
      </w:r>
    </w:p>
    <w:p>
      <w:pPr>
        <w:pStyle w:val="ListParagraph"/>
        <w:numPr>
          <w:ilvl w:val="0"/>
          <w:numId w:val="2"/>
        </w:numPr>
        <w:spacing w:before="40" w:after="40"/>
      </w:pPr>
      <w:r>
        <w:rPr>
          <w:rFonts w:ascii="Arial" w:cs="Arial" w:eastAsia="Arial" w:hAnsi="Arial"/>
          <w:b w:val="false"/>
          <w:bCs w:val="false"/>
          <w:color w:val="333333"/>
          <w:sz w:val="22"/>
          <w:szCs w:val="22"/>
        </w:rPr>
        <w:t xml:space="preserve">Selected node detail panel — right sidebar shows the selected node's label, full description, tier badge, and a list of prerequisite node names resolved from the DKG.</w:t>
      </w:r>
    </w:p>
    <w:p>
      <w:pPr>
        <w:pStyle w:val="ListParagraph"/>
        <w:numPr>
          <w:ilvl w:val="0"/>
          <w:numId w:val="2"/>
        </w:numPr>
        <w:spacing w:before="40" w:after="40"/>
      </w:pPr>
      <w:r>
        <w:rPr>
          <w:rFonts w:ascii="Arial" w:cs="Arial" w:eastAsia="Arial" w:hAnsi="Arial"/>
          <w:b w:val="false"/>
          <w:bCs w:val="false"/>
          <w:color w:val="333333"/>
          <w:sz w:val="22"/>
          <w:szCs w:val="22"/>
        </w:rPr>
        <w:t xml:space="preserve">Node list table — below the canvas, all concept nodes are listed in a table with their tier and prereq count. Clicking a row selects the node on the canvas.</w:t>
      </w:r>
    </w:p>
    <w:p>
      <w:pPr>
        <w:pStyle w:val="ListParagraph"/>
        <w:numPr>
          <w:ilvl w:val="0"/>
          <w:numId w:val="2"/>
        </w:numPr>
        <w:spacing w:before="40" w:after="40"/>
      </w:pPr>
      <w:r>
        <w:rPr>
          <w:rFonts w:ascii="Arial" w:cs="Arial" w:eastAsia="Arial" w:hAnsi="Arial"/>
          <w:b w:val="false"/>
          <w:bCs w:val="false"/>
          <w:color w:val="333333"/>
          <w:sz w:val="22"/>
          <w:szCs w:val="22"/>
        </w:rPr>
        <w:t xml:space="preserve">Subject switcher — five subject pills switch the active DKG. Each pill uses the subject's accent color for its active border and background tint.</w:t>
      </w:r>
    </w:p>
    <w:p>
      <w:pPr>
        <w:pStyle w:val="ListParagraph"/>
        <w:numPr>
          <w:ilvl w:val="0"/>
          <w:numId w:val="2"/>
        </w:numPr>
        <w:spacing w:before="40" w:after="40"/>
      </w:pPr>
      <w:r>
        <w:rPr>
          <w:rFonts w:ascii="Arial" w:cs="Arial" w:eastAsia="Arial" w:hAnsi="Arial"/>
          <w:b w:val="false"/>
          <w:bCs w:val="false"/>
          <w:color w:val="333333"/>
          <w:sz w:val="22"/>
          <w:szCs w:val="22"/>
        </w:rPr>
        <w:t xml:space="preserve">DKG stats — four stat cards: Total Nodes, Total Edges, Foundational nodes, Expert nodes.</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onSnapshot(doc(db,'dkg',activeSubject.toLowerCase())) provides live DKG updates. If a researcher publishes a new version while the page is open, the canvas re-renders immediately.</w:t>
      </w:r>
    </w:p>
    <w:p>
      <w:pPr>
        <w:pStyle w:val="Heading2"/>
        <w:spacing w:before="280" w:after="80"/>
      </w:pPr>
      <w:r>
        <w:rPr>
          <w:rFonts w:ascii="Arial" w:cs="Arial" w:eastAsia="Arial" w:hAnsi="Arial"/>
          <w:b/>
          <w:bCs/>
          <w:color w:val="1A2A4A"/>
          <w:sz w:val="26"/>
          <w:szCs w:val="26"/>
        </w:rPr>
        <w:t xml:space="preserve">3.2 src/app/researcher/compare/page.tsx — New</w:t>
      </w:r>
    </w:p>
    <w:p>
      <w:pPr>
        <w:spacing w:before="80" w:after="80"/>
      </w:pPr>
      <w:r>
        <w:rPr>
          <w:rFonts w:ascii="Arial" w:cs="Arial" w:eastAsia="Arial" w:hAnsi="Arial"/>
          <w:color w:val="333333"/>
          <w:sz w:val="22"/>
          <w:szCs w:val="22"/>
        </w:rPr>
        <w:t xml:space="preserve">The Compare Groups page renders side-by-side aggregate SKG visualizations for two cohorts, plus a concept divergence diff-bar chart.</w:t>
      </w:r>
    </w:p>
    <w:p>
      <w:pPr>
        <w:pStyle w:val="ListParagraph"/>
        <w:numPr>
          <w:ilvl w:val="0"/>
          <w:numId w:val="2"/>
        </w:numPr>
        <w:spacing w:before="40" w:after="40"/>
      </w:pPr>
      <w:r>
        <w:rPr>
          <w:rFonts w:ascii="Arial" w:cs="Arial" w:eastAsia="Arial" w:hAnsi="Arial"/>
          <w:b w:val="false"/>
          <w:bCs w:val="false"/>
          <w:color w:val="333333"/>
          <w:sz w:val="22"/>
          <w:szCs w:val="22"/>
        </w:rPr>
        <w:t xml:space="preserve">Cohort canvases — two Canvas 2D grids rendered in CohortCanvas components. Each cell is a concept node; cell opacity is proportional to the cohort's T1 alignment percentage on that node. T1 percentage is rendered as text inside each cell. Darker = higher alignment.</w:t>
      </w:r>
    </w:p>
    <w:p>
      <w:pPr>
        <w:pStyle w:val="ListParagraph"/>
        <w:numPr>
          <w:ilvl w:val="0"/>
          <w:numId w:val="2"/>
        </w:numPr>
        <w:spacing w:before="40" w:after="40"/>
      </w:pPr>
      <w:r>
        <w:rPr>
          <w:rFonts w:ascii="Arial" w:cs="Arial" w:eastAsia="Arial" w:hAnsi="Arial"/>
          <w:b w:val="false"/>
          <w:bCs w:val="false"/>
          <w:color w:val="333333"/>
          <w:sz w:val="22"/>
          <w:szCs w:val="22"/>
        </w:rPr>
        <w:t xml:space="preserve">Divergence chart — below the cohorts, a ranked diff-bar chart shows the concepts where Cohort A and Cohort B differ most. Each row has a stacked bar: Cohort A (blue) fills from 0% to its T1 value, Cohort B (lime) extends from A's value. Sorted by absolute difference.</w:t>
      </w:r>
    </w:p>
    <w:p>
      <w:pPr>
        <w:pStyle w:val="ListParagraph"/>
        <w:numPr>
          <w:ilvl w:val="0"/>
          <w:numId w:val="2"/>
        </w:numPr>
        <w:spacing w:before="40" w:after="40"/>
      </w:pPr>
      <w:r>
        <w:rPr>
          <w:rFonts w:ascii="Arial" w:cs="Arial" w:eastAsia="Arial" w:hAnsi="Arial"/>
          <w:b w:val="false"/>
          <w:bCs w:val="false"/>
          <w:color w:val="333333"/>
          <w:sz w:val="22"/>
          <w:szCs w:val="22"/>
        </w:rPr>
        <w:t xml:space="preserve">Cohort metadata — each cohort card shows name, sample size, date range, and an average tier badge.</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query(collection(db,'sessions'), where('dkgVersion','in', user.publishedDKGs)) with client-side cohort partitioning by institution or enrollment date.</w:t>
      </w:r>
    </w:p>
    <w:p>
      <w:pPr>
        <w:pStyle w:val="Heading2"/>
        <w:spacing w:before="280" w:after="80"/>
      </w:pPr>
      <w:r>
        <w:rPr>
          <w:rFonts w:ascii="Arial" w:cs="Arial" w:eastAsia="Arial" w:hAnsi="Arial"/>
          <w:b/>
          <w:bCs/>
          <w:color w:val="1A2A4A"/>
          <w:sz w:val="26"/>
          <w:szCs w:val="26"/>
        </w:rPr>
        <w:t xml:space="preserve">3.3 src/app/researcher/trends/page.tsx — New</w:t>
      </w:r>
    </w:p>
    <w:p>
      <w:pPr>
        <w:spacing w:before="80" w:after="80"/>
      </w:pPr>
      <w:r>
        <w:rPr>
          <w:rFonts w:ascii="Arial" w:cs="Arial" w:eastAsia="Arial" w:hAnsi="Arial"/>
          <w:color w:val="333333"/>
          <w:sz w:val="22"/>
          <w:szCs w:val="22"/>
        </w:rPr>
        <w:t xml:space="preserve">The Knowledge Evolution Timeline shows how a selected concept node's T1/T2/T3 rates have evolved week-by-week across the researcher's student cohort.</w:t>
      </w:r>
    </w:p>
    <w:p>
      <w:pPr>
        <w:pStyle w:val="ListParagraph"/>
        <w:numPr>
          <w:ilvl w:val="0"/>
          <w:numId w:val="2"/>
        </w:numPr>
        <w:spacing w:before="40" w:after="40"/>
      </w:pPr>
      <w:r>
        <w:rPr>
          <w:rFonts w:ascii="Arial" w:cs="Arial" w:eastAsia="Arial" w:hAnsi="Arial"/>
          <w:b w:val="false"/>
          <w:bCs w:val="false"/>
          <w:color w:val="333333"/>
          <w:sz w:val="22"/>
          <w:szCs w:val="22"/>
        </w:rPr>
        <w:t xml:space="preserve">Concept selector — left sidebar lists all tracked concept nodes with their current T1 percentage. Clicking selects the concept and redraws the chart. Active item has a lime left border.</w:t>
      </w:r>
    </w:p>
    <w:p>
      <w:pPr>
        <w:pStyle w:val="ListParagraph"/>
        <w:numPr>
          <w:ilvl w:val="0"/>
          <w:numId w:val="2"/>
        </w:numPr>
        <w:spacing w:before="40" w:after="40"/>
      </w:pPr>
      <w:r>
        <w:rPr>
          <w:rFonts w:ascii="Arial" w:cs="Arial" w:eastAsia="Arial" w:hAnsi="Arial"/>
          <w:b w:val="false"/>
          <w:bCs w:val="false"/>
          <w:color w:val="333333"/>
          <w:sz w:val="22"/>
          <w:szCs w:val="22"/>
        </w:rPr>
        <w:t xml:space="preserve">Line chart — Canvas 2D chart with three lines: T1 (lime, filled area), T2 (amber), T3 (coral). X axis is weeks W1–W12, Y axis is 0–60%. The chart includes a subtle grid, axis labels in DM Mono, and dots at each data point.</w:t>
      </w:r>
    </w:p>
    <w:p>
      <w:pPr>
        <w:pStyle w:val="ListParagraph"/>
        <w:numPr>
          <w:ilvl w:val="0"/>
          <w:numId w:val="2"/>
        </w:numPr>
        <w:spacing w:before="40" w:after="40"/>
      </w:pPr>
      <w:r>
        <w:rPr>
          <w:rFonts w:ascii="Arial" w:cs="Arial" w:eastAsia="Arial" w:hAnsi="Arial"/>
          <w:b w:val="false"/>
          <w:bCs w:val="false"/>
          <w:color w:val="333333"/>
          <w:sz w:val="22"/>
          <w:szCs w:val="22"/>
        </w:rPr>
        <w:t xml:space="preserve">Summary cards — three stat cards below the chart: 12-Week T1 Growth (T1 endpoint minus T1 start), Peak T3 Week (week index where T3 was highest), and T1 This Week (current alignment percentage).</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weekly aggregation of session tier data by concept node, grouped by dkgVersion. In production this would be a Cloud Function-maintained aggregate or a client-side roll-up from the sessions query.</w:t>
      </w:r>
    </w:p>
    <w:p>
      <w:pPr>
        <w:pStyle w:val="Heading2"/>
        <w:spacing w:before="280" w:after="80"/>
      </w:pPr>
      <w:r>
        <w:rPr>
          <w:rFonts w:ascii="Arial" w:cs="Arial" w:eastAsia="Arial" w:hAnsi="Arial"/>
          <w:b/>
          <w:bCs/>
          <w:color w:val="1A2A4A"/>
          <w:sz w:val="26"/>
          <w:szCs w:val="26"/>
        </w:rPr>
        <w:t xml:space="preserve">3.4 src/app/researcher/export/page.tsx — New</w:t>
      </w:r>
    </w:p>
    <w:p>
      <w:pPr>
        <w:spacing w:before="80" w:after="80"/>
      </w:pPr>
      <w:r>
        <w:rPr>
          <w:rFonts w:ascii="Arial" w:cs="Arial" w:eastAsia="Arial" w:hAnsi="Arial"/>
          <w:color w:val="333333"/>
          <w:sz w:val="22"/>
          <w:szCs w:val="22"/>
        </w:rPr>
        <w:t xml:space="preserve">The Graph Export page provides a full export configuration form with three format options.</w:t>
      </w:r>
    </w:p>
    <w:p>
      <w:pPr>
        <w:pStyle w:val="ListParagraph"/>
        <w:numPr>
          <w:ilvl w:val="0"/>
          <w:numId w:val="2"/>
        </w:numPr>
        <w:spacing w:before="40" w:after="40"/>
      </w:pPr>
      <w:r>
        <w:rPr>
          <w:rFonts w:ascii="Arial" w:cs="Arial" w:eastAsia="Arial" w:hAnsi="Arial"/>
          <w:b w:val="false"/>
          <w:bCs w:val="false"/>
          <w:color w:val="333333"/>
          <w:sz w:val="22"/>
          <w:szCs w:val="22"/>
        </w:rPr>
        <w:t xml:space="preserve">Configuration form — four dropdowns (Subject, Date Range, Cohort, Anonymize) and four inclusion toggle buttons (Concept Nodes, Edge Weights, Tier Distribution, Session History). All toggles are live-reflecting.</w:t>
      </w:r>
    </w:p>
    <w:p>
      <w:pPr>
        <w:pStyle w:val="ListParagraph"/>
        <w:numPr>
          <w:ilvl w:val="0"/>
          <w:numId w:val="2"/>
        </w:numPr>
        <w:spacing w:before="40" w:after="40"/>
      </w:pPr>
      <w:r>
        <w:rPr>
          <w:rFonts w:ascii="Arial" w:cs="Arial" w:eastAsia="Arial" w:hAnsi="Arial"/>
          <w:b w:val="false"/>
          <w:bCs w:val="false"/>
          <w:color w:val="333333"/>
          <w:sz w:val="22"/>
          <w:szCs w:val="22"/>
        </w:rPr>
        <w:t xml:space="preserve">Format selector — three cards for JSON, CSV, and GraphML. Each card shows a description of what the format contains, relevant tool tags (Gephi, Cytoscape, pandas, etc.), and clicking selects it.</w:t>
      </w:r>
    </w:p>
    <w:p>
      <w:pPr>
        <w:pStyle w:val="ListParagraph"/>
        <w:numPr>
          <w:ilvl w:val="0"/>
          <w:numId w:val="2"/>
        </w:numPr>
        <w:spacing w:before="40" w:after="40"/>
      </w:pPr>
      <w:r>
        <w:rPr>
          <w:rFonts w:ascii="Arial" w:cs="Arial" w:eastAsia="Arial" w:hAnsi="Arial"/>
          <w:b w:val="false"/>
          <w:bCs w:val="false"/>
          <w:color w:val="333333"/>
          <w:sz w:val="22"/>
          <w:szCs w:val="22"/>
        </w:rPr>
        <w:t xml:space="preserve">Export button — fires a POST to /api/research/export (stubbed with a 1.4s delay and alert). Label updates to 'EXPORTING...' during the request. Last export timestamp is shown after a successful export.</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the backend receives the config, queries Firestore, builds the export, and returns a signed Cloud Storage URL for the file download.</w:t>
      </w:r>
    </w:p>
    <w:p>
      <w:pPr>
        <w:pStyle w:val="Heading2"/>
        <w:spacing w:before="280" w:after="80"/>
      </w:pPr>
      <w:r>
        <w:rPr>
          <w:rFonts w:ascii="Arial" w:cs="Arial" w:eastAsia="Arial" w:hAnsi="Arial"/>
          <w:b/>
          <w:bCs/>
          <w:color w:val="1A2A4A"/>
          <w:sz w:val="26"/>
          <w:szCs w:val="26"/>
        </w:rPr>
        <w:t xml:space="preserve">3.5 src/app/researcher/archive/page.tsx — New</w:t>
      </w:r>
    </w:p>
    <w:p>
      <w:pPr>
        <w:spacing w:before="80" w:after="80"/>
      </w:pPr>
      <w:r>
        <w:rPr>
          <w:rFonts w:ascii="Arial" w:cs="Arial" w:eastAsia="Arial" w:hAnsi="Arial"/>
          <w:color w:val="333333"/>
          <w:sz w:val="22"/>
          <w:szCs w:val="22"/>
        </w:rPr>
        <w:t xml:space="preserve">The Session Archive is a paginated, filterable table of all anonymous sessions that ran against the researcher's published DKGs.</w:t>
      </w:r>
    </w:p>
    <w:p>
      <w:pPr>
        <w:pStyle w:val="ListParagraph"/>
        <w:numPr>
          <w:ilvl w:val="0"/>
          <w:numId w:val="2"/>
        </w:numPr>
        <w:spacing w:before="40" w:after="40"/>
      </w:pPr>
      <w:r>
        <w:rPr>
          <w:rFonts w:ascii="Arial" w:cs="Arial" w:eastAsia="Arial" w:hAnsi="Arial"/>
          <w:b w:val="false"/>
          <w:bCs w:val="false"/>
          <w:color w:val="333333"/>
          <w:sz w:val="22"/>
          <w:szCs w:val="22"/>
        </w:rPr>
        <w:t xml:space="preserve">Paginated table — 20 sessions per page, 'Load more' button at the bottom showing remaining count. Sessions show subject dot, subject name, session duration, tier badge, concepts aligned count, DKG version badge, and relative timestamp.</w:t>
      </w:r>
    </w:p>
    <w:p>
      <w:pPr>
        <w:pStyle w:val="ListParagraph"/>
        <w:numPr>
          <w:ilvl w:val="0"/>
          <w:numId w:val="2"/>
        </w:numPr>
        <w:spacing w:before="40" w:after="40"/>
      </w:pPr>
      <w:r>
        <w:rPr>
          <w:rFonts w:ascii="Arial" w:cs="Arial" w:eastAsia="Arial" w:hAnsi="Arial"/>
          <w:b w:val="false"/>
          <w:bCs w:val="false"/>
          <w:color w:val="333333"/>
          <w:sz w:val="22"/>
          <w:szCs w:val="22"/>
        </w:rPr>
        <w:t xml:space="preserve">Filters — tier buttons (T1/T2/T3/T4/ALL), subject select, and DKG version select. All filters combine. Filter changes reset to page 1.</w:t>
      </w:r>
    </w:p>
    <w:p>
      <w:pPr>
        <w:pStyle w:val="ListParagraph"/>
        <w:numPr>
          <w:ilvl w:val="0"/>
          <w:numId w:val="2"/>
        </w:numPr>
        <w:spacing w:before="40" w:after="40"/>
      </w:pPr>
      <w:r>
        <w:rPr>
          <w:rFonts w:ascii="Arial" w:cs="Arial" w:eastAsia="Arial" w:hAnsi="Arial"/>
          <w:b w:val="false"/>
          <w:bCs w:val="false"/>
          <w:color w:val="333333"/>
          <w:sz w:val="22"/>
          <w:szCs w:val="22"/>
        </w:rPr>
        <w:t xml:space="preserve">Four summary stat cards at the top — Total Sessions, T1 Aligned, T3 Rate, DKG Versions in use.</w:t>
      </w:r>
    </w:p>
    <w:p>
      <w:pPr>
        <w:pStyle w:val="ListParagraph"/>
        <w:numPr>
          <w:ilvl w:val="0"/>
          <w:numId w:val="2"/>
        </w:numPr>
        <w:spacing w:before="40" w:after="40"/>
      </w:pPr>
      <w:r>
        <w:rPr>
          <w:rFonts w:ascii="Arial" w:cs="Arial" w:eastAsia="Arial" w:hAnsi="Arial"/>
          <w:b w:val="false"/>
          <w:bCs w:val="false"/>
          <w:color w:val="333333"/>
          <w:sz w:val="22"/>
          <w:szCs w:val="22"/>
        </w:rPr>
        <w:t xml:space="preserve">Privacy — sessions are shown anonymously (no student names or UIDs exposed to the researcher). This matches the Firestore security rule: sessions/{sessionId} is readable by researcher role without the userId field.</w:t>
      </w:r>
    </w:p>
    <w:p>
      <w:pPr>
        <w:pStyle w:val="ListParagraph"/>
        <w:numPr>
          <w:ilvl w:val="0"/>
          <w:numId w:val="2"/>
        </w:numPr>
        <w:spacing w:before="40" w:after="40"/>
      </w:pPr>
      <w:r>
        <w:rPr>
          <w:rFonts w:ascii="Arial" w:cs="Arial" w:eastAsia="Arial" w:hAnsi="Arial"/>
          <w:b w:val="false"/>
          <w:bCs w:val="false"/>
          <w:color w:val="333333"/>
          <w:sz w:val="22"/>
          <w:szCs w:val="22"/>
        </w:rPr>
        <w:t xml:space="preserve">Firestore stub — query(collection(db,'sessions'), where('dkgVersion','in', user.publishedDKGs || []), orderBy('createdAt','desc'), limit(500)).</w:t>
      </w:r>
    </w:p>
    <w:p>
      <w:pPr>
        <w:pStyle w:val="Heading1"/>
        <w:spacing w:before="360" w:after="120"/>
      </w:pPr>
      <w:r>
        <w:rPr>
          <w:rFonts w:ascii="Arial" w:cs="Arial" w:eastAsia="Arial" w:hAnsi="Arial"/>
          <w:b/>
          <w:bCs/>
          <w:color w:val="1A2A4A"/>
          <w:sz w:val="34"/>
          <w:szCs w:val="34"/>
        </w:rPr>
        <w:t xml:space="preserve">4. Complete File Tree After Session 5</w:t>
      </w:r>
    </w:p>
    <w:p>
      <w:pPr>
        <w:spacing w:before="80" w:after="80"/>
      </w:pPr>
      <w:r>
        <w:rPr>
          <w:rFonts w:ascii="Arial" w:cs="Arial" w:eastAsia="Arial" w:hAnsi="Arial"/>
          <w:color w:val="333333"/>
          <w:sz w:val="22"/>
          <w:szCs w:val="22"/>
        </w:rPr>
        <w:t xml:space="preserve">All new files created this session are marked with [NEW]. Files from prior sessions are shown for context.</w:t>
      </w:r>
    </w:p>
    <w:p>
      <w:pPr>
        <w:spacing w:before="60" w:after="0"/>
      </w:pPr>
    </w:p>
    <w:p>
      <w:pPr>
        <w:shd w:fill="F4F6FA" w:val="clear"/>
        <w:spacing w:before="80" w:after="80"/>
      </w:pPr>
      <w:r>
        <w:rPr>
          <w:rFonts w:ascii="Courier New" w:cs="Courier New" w:eastAsia="Courier New" w:hAnsi="Courier New"/>
          <w:b/>
          <w:bCs/>
          <w:color w:val="1A2A4A"/>
          <w:sz w:val="18"/>
          <w:szCs w:val="18"/>
        </w:rPr>
        <w:t xml:space="preserve">  src/app/teacher/  </w:t>
      </w:r>
    </w:p>
    <w:p>
      <w:pPr>
        <w:shd w:fill="F0F2F8" w:val="clear"/>
        <w:spacing w:before="40" w:after="40"/>
        <w:ind w:left="360"/>
      </w:pPr>
      <w:r>
        <w:rPr>
          <w:rFonts w:ascii="Courier New" w:cs="Courier New" w:eastAsia="Courier New" w:hAnsi="Courier New"/>
          <w:color w:val="1A2A4A"/>
          <w:sz w:val="18"/>
          <w:szCs w:val="18"/>
        </w:rPr>
        <w:t xml:space="preserve">  layout.tsx                      — [Session 4] Independent layout, role guard, sidebar nav</w:t>
      </w:r>
    </w:p>
    <w:p>
      <w:pPr>
        <w:shd w:fill="F0F2F8" w:val="clear"/>
        <w:spacing w:before="40" w:after="40"/>
        <w:ind w:left="360"/>
      </w:pPr>
      <w:r>
        <w:rPr>
          <w:rFonts w:ascii="Courier New" w:cs="Courier New" w:eastAsia="Courier New" w:hAnsi="Courier New"/>
          <w:color w:val="1A2A4A"/>
          <w:sz w:val="18"/>
          <w:szCs w:val="18"/>
        </w:rPr>
        <w:t xml:space="preserve">  page.tsx                         — [Session 4] Teacher dashboard overview (Firestore-wired)</w:t>
      </w:r>
    </w:p>
    <w:p>
      <w:pPr>
        <w:shd w:fill="F0F2F8" w:val="clear"/>
        <w:spacing w:before="40" w:after="40"/>
        <w:ind w:left="360"/>
      </w:pPr>
      <w:r>
        <w:rPr>
          <w:rFonts w:ascii="Courier New" w:cs="Courier New" w:eastAsia="Courier New" w:hAnsi="Courier New"/>
          <w:color w:val="1A2A4A"/>
          <w:sz w:val="18"/>
          <w:szCs w:val="18"/>
        </w:rPr>
        <w:t xml:space="preserve">  heatmap/page.tsx                 — [NEW] Live misconception heatmap, subject tabs, sort, tooltip</w:t>
      </w:r>
    </w:p>
    <w:p>
      <w:pPr>
        <w:shd w:fill="F0F2F8" w:val="clear"/>
        <w:spacing w:before="40" w:after="40"/>
        <w:ind w:left="360"/>
      </w:pPr>
      <w:r>
        <w:rPr>
          <w:rFonts w:ascii="Courier New" w:cs="Courier New" w:eastAsia="Courier New" w:hAnsi="Courier New"/>
          <w:color w:val="1A2A4A"/>
          <w:sz w:val="18"/>
          <w:szCs w:val="18"/>
        </w:rPr>
        <w:t xml:space="preserve">  students/page.tsx                — [NEW] Sortable roster, slide-in student panel, assign CTA</w:t>
      </w:r>
    </w:p>
    <w:p>
      <w:pPr>
        <w:shd w:fill="F0F2F8" w:val="clear"/>
        <w:spacing w:before="40" w:after="40"/>
        <w:ind w:left="360"/>
      </w:pPr>
      <w:r>
        <w:rPr>
          <w:rFonts w:ascii="Courier New" w:cs="Courier New" w:eastAsia="Courier New" w:hAnsi="Courier New"/>
          <w:color w:val="1A2A4A"/>
          <w:sz w:val="18"/>
          <w:szCs w:val="18"/>
        </w:rPr>
        <w:t xml:space="preserve">  assignments/page.tsx             — [NEW] Task cards, create form, concept chip selector</w:t>
      </w:r>
    </w:p>
    <w:p>
      <w:pPr>
        <w:shd w:fill="F0F2F8" w:val="clear"/>
        <w:spacing w:before="40" w:after="40"/>
        <w:ind w:left="360"/>
      </w:pPr>
      <w:r>
        <w:rPr>
          <w:rFonts w:ascii="Courier New" w:cs="Courier New" w:eastAsia="Courier New" w:hAnsi="Courier New"/>
          <w:color w:val="1A2A4A"/>
          <w:sz w:val="18"/>
          <w:szCs w:val="18"/>
        </w:rPr>
        <w:t xml:space="preserve">  history/page.tsx                 — [NEW] Day-grouped sessions, expandable rows, filters</w:t>
      </w:r>
    </w:p>
    <w:p>
      <w:pPr>
        <w:spacing w:before="60" w:after="0"/>
      </w:pPr>
    </w:p>
    <w:p>
      <w:pPr>
        <w:shd w:fill="F4F6FA" w:val="clear"/>
        <w:spacing w:before="80" w:after="80"/>
      </w:pPr>
      <w:r>
        <w:rPr>
          <w:rFonts w:ascii="Courier New" w:cs="Courier New" w:eastAsia="Courier New" w:hAnsi="Courier New"/>
          <w:b/>
          <w:bCs/>
          <w:color w:val="1A2A4A"/>
          <w:sz w:val="18"/>
          <w:szCs w:val="18"/>
        </w:rPr>
        <w:t xml:space="preserve">  src/app/researcher/  </w:t>
      </w:r>
    </w:p>
    <w:p>
      <w:pPr>
        <w:shd w:fill="F0F2F8" w:val="clear"/>
        <w:spacing w:before="40" w:after="40"/>
        <w:ind w:left="360"/>
      </w:pPr>
      <w:r>
        <w:rPr>
          <w:rFonts w:ascii="Courier New" w:cs="Courier New" w:eastAsia="Courier New" w:hAnsi="Courier New"/>
          <w:color w:val="1A2A4A"/>
          <w:sz w:val="18"/>
          <w:szCs w:val="18"/>
        </w:rPr>
        <w:t xml:space="preserve">  layout.tsx                       — [Session 4] Independent layout, role guard, sidebar nav</w:t>
      </w:r>
    </w:p>
    <w:p>
      <w:pPr>
        <w:shd w:fill="F0F2F8" w:val="clear"/>
        <w:spacing w:before="40" w:after="40"/>
        <w:ind w:left="360"/>
      </w:pPr>
      <w:r>
        <w:rPr>
          <w:rFonts w:ascii="Courier New" w:cs="Courier New" w:eastAsia="Courier New" w:hAnsi="Courier New"/>
          <w:color w:val="1A2A4A"/>
          <w:sz w:val="18"/>
          <w:szCs w:val="18"/>
        </w:rPr>
        <w:t xml:space="preserve">  page.tsx                         — [Session 4] Researcher dashboard overview (Firestore-wired)</w:t>
      </w:r>
    </w:p>
    <w:p>
      <w:pPr>
        <w:shd w:fill="F0F2F8" w:val="clear"/>
        <w:spacing w:before="40" w:after="40"/>
        <w:ind w:left="360"/>
      </w:pPr>
      <w:r>
        <w:rPr>
          <w:rFonts w:ascii="Courier New" w:cs="Courier New" w:eastAsia="Courier New" w:hAnsi="Courier New"/>
          <w:color w:val="1A2A4A"/>
          <w:sz w:val="18"/>
          <w:szCs w:val="18"/>
        </w:rPr>
        <w:t xml:space="preserve">  dkg/page.tsx                     — [NEW] FlowField canvas, node selection, node list table</w:t>
      </w:r>
    </w:p>
    <w:p>
      <w:pPr>
        <w:shd w:fill="F0F2F8" w:val="clear"/>
        <w:spacing w:before="40" w:after="40"/>
        <w:ind w:left="360"/>
      </w:pPr>
      <w:r>
        <w:rPr>
          <w:rFonts w:ascii="Courier New" w:cs="Courier New" w:eastAsia="Courier New" w:hAnsi="Courier New"/>
          <w:color w:val="1A2A4A"/>
          <w:sz w:val="18"/>
          <w:szCs w:val="18"/>
        </w:rPr>
        <w:t xml:space="preserve">  compare/page.tsx                 — [NEW] Side-by-side cohort grids, divergence diff bars</w:t>
      </w:r>
    </w:p>
    <w:p>
      <w:pPr>
        <w:shd w:fill="F0F2F8" w:val="clear"/>
        <w:spacing w:before="40" w:after="40"/>
        <w:ind w:left="360"/>
      </w:pPr>
      <w:r>
        <w:rPr>
          <w:rFonts w:ascii="Courier New" w:cs="Courier New" w:eastAsia="Courier New" w:hAnsi="Courier New"/>
          <w:color w:val="1A2A4A"/>
          <w:sz w:val="18"/>
          <w:szCs w:val="18"/>
        </w:rPr>
        <w:t xml:space="preserve">  trends/page.tsx                  — [NEW] Concept selector, 12-week T1/T2/T3 line chart</w:t>
      </w:r>
    </w:p>
    <w:p>
      <w:pPr>
        <w:shd w:fill="F0F2F8" w:val="clear"/>
        <w:spacing w:before="40" w:after="40"/>
        <w:ind w:left="360"/>
      </w:pPr>
      <w:r>
        <w:rPr>
          <w:rFonts w:ascii="Courier New" w:cs="Courier New" w:eastAsia="Courier New" w:hAnsi="Courier New"/>
          <w:color w:val="1A2A4A"/>
          <w:sz w:val="18"/>
          <w:szCs w:val="18"/>
        </w:rPr>
        <w:t xml:space="preserve">  export/page.tsx                  — [NEW] Config form, JSON/CSV/GraphML selector, export CTA</w:t>
      </w:r>
    </w:p>
    <w:p>
      <w:pPr>
        <w:shd w:fill="F0F2F8" w:val="clear"/>
        <w:spacing w:before="40" w:after="40"/>
        <w:ind w:left="360"/>
      </w:pPr>
      <w:r>
        <w:rPr>
          <w:rFonts w:ascii="Courier New" w:cs="Courier New" w:eastAsia="Courier New" w:hAnsi="Courier New"/>
          <w:color w:val="1A2A4A"/>
          <w:sz w:val="18"/>
          <w:szCs w:val="18"/>
        </w:rPr>
        <w:t xml:space="preserve">  archive/page.tsx                 — [NEW] Paginated anonymous session table, filters</w:t>
      </w:r>
    </w:p>
    <w:p>
      <w:pPr>
        <w:pStyle w:val="Heading1"/>
        <w:spacing w:before="360" w:after="120"/>
      </w:pPr>
      <w:r>
        <w:rPr>
          <w:rFonts w:ascii="Arial" w:cs="Arial" w:eastAsia="Arial" w:hAnsi="Arial"/>
          <w:b/>
          <w:bCs/>
          <w:color w:val="1A2A4A"/>
          <w:sz w:val="34"/>
          <w:szCs w:val="34"/>
        </w:rPr>
        <w:t xml:space="preserve">5. Design System Compliance</w:t>
      </w:r>
    </w:p>
    <w:p>
      <w:pPr>
        <w:spacing w:before="80" w:after="80"/>
      </w:pPr>
      <w:r>
        <w:rPr>
          <w:rFonts w:ascii="Arial" w:cs="Arial" w:eastAsia="Arial" w:hAnsi="Arial"/>
          <w:color w:val="333333"/>
          <w:sz w:val="22"/>
          <w:szCs w:val="22"/>
        </w:rPr>
        <w:t xml:space="preserve">All 9 new pages strictly follow the VEKTOR Intelligence design system defined in the Product Specification. No deviations were introduced.</w:t>
      </w:r>
    </w:p>
    <w:p>
      <w:pPr>
        <w:pStyle w:val="Heading2"/>
        <w:spacing w:before="280" w:after="80"/>
      </w:pPr>
      <w:r>
        <w:rPr>
          <w:rFonts w:ascii="Arial" w:cs="Arial" w:eastAsia="Arial" w:hAnsi="Arial"/>
          <w:b/>
          <w:bCs/>
          <w:color w:val="1A2A4A"/>
          <w:sz w:val="26"/>
          <w:szCs w:val="26"/>
        </w:rPr>
        <w:t xml:space="preserve">5.1 Color Tokens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#08080F</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bg-base — page background</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#0F0F1A</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bg-surface — card and panel background</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#1E1E36</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border — default border color</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#F0F0FF</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text-primary — all primary text</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#6B6A80</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text-secondary — labels, descriptions</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#3A3A5C</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text-muted — mono labels, timestamps</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#7B5CFF</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Teacher accent — purple</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#2BD9A0</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Researcher accent — teal/green</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#C8FF00</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T1 — aligned concepts</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#FFB800</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T2 — gap</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#FF3D57</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T3 — misconception (urgent)</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#6B6A80</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T4 — unknown</w:t>
            </w:r>
          </w:p>
        </w:tc>
      </w:tr>
    </w:tbl>
    <w:p>
      <w:pPr>
        <w:pStyle w:val="Heading2"/>
        <w:spacing w:before="280" w:after="80"/>
      </w:pPr>
      <w:r>
        <w:rPr>
          <w:rFonts w:ascii="Arial" w:cs="Arial" w:eastAsia="Arial" w:hAnsi="Arial"/>
          <w:b/>
          <w:bCs/>
          <w:color w:val="1A2A4A"/>
          <w:sz w:val="26"/>
          <w:szCs w:val="26"/>
        </w:rPr>
        <w:t xml:space="preserve">5.2 Typography</w:t>
      </w:r>
    </w:p>
    <w:p>
      <w:pPr>
        <w:pStyle w:val="ListParagraph"/>
        <w:numPr>
          <w:ilvl w:val="0"/>
          <w:numId w:val="2"/>
        </w:numPr>
        <w:spacing w:before="40" w:after="40"/>
      </w:pPr>
      <w:r>
        <w:rPr>
          <w:rFonts w:ascii="Arial" w:cs="Arial" w:eastAsia="Arial" w:hAnsi="Arial"/>
          <w:b w:val="false"/>
          <w:bCs w:val="false"/>
          <w:color w:val="333333"/>
          <w:sz w:val="22"/>
          <w:szCs w:val="22"/>
        </w:rPr>
        <w:t xml:space="preserve">var(--font-syne) — all headings, stat values, button labels, student names</w:t>
      </w:r>
    </w:p>
    <w:p>
      <w:pPr>
        <w:pStyle w:val="ListParagraph"/>
        <w:numPr>
          <w:ilvl w:val="0"/>
          <w:numId w:val="2"/>
        </w:numPr>
        <w:spacing w:before="40" w:after="40"/>
      </w:pPr>
      <w:r>
        <w:rPr>
          <w:rFonts w:ascii="Arial" w:cs="Arial" w:eastAsia="Arial" w:hAnsi="Arial"/>
          <w:b w:val="false"/>
          <w:bCs w:val="false"/>
          <w:color w:val="333333"/>
          <w:sz w:val="22"/>
          <w:szCs w:val="22"/>
        </w:rPr>
        <w:t xml:space="preserve">var(--font-dm-mono) — all mono labels, tier badges, tracking-widest uppercase section headers, timestamps, DKG version tags</w:t>
      </w:r>
    </w:p>
    <w:p>
      <w:pPr>
        <w:pStyle w:val="ListParagraph"/>
        <w:numPr>
          <w:ilvl w:val="0"/>
          <w:numId w:val="2"/>
        </w:numPr>
        <w:spacing w:before="40" w:after="40"/>
      </w:pPr>
      <w:r>
        <w:rPr>
          <w:rFonts w:ascii="Arial" w:cs="Arial" w:eastAsia="Arial" w:hAnsi="Arial"/>
          <w:b w:val="false"/>
          <w:bCs w:val="false"/>
          <w:color w:val="333333"/>
          <w:sz w:val="22"/>
          <w:szCs w:val="22"/>
        </w:rPr>
        <w:t xml:space="preserve">var(--font-instrument) — body copy, session query text, descriptions</w:t>
      </w:r>
    </w:p>
    <w:p>
      <w:pPr>
        <w:pStyle w:val="ListParagraph"/>
        <w:numPr>
          <w:ilvl w:val="0"/>
          <w:numId w:val="2"/>
        </w:numPr>
        <w:spacing w:before="40" w:after="40"/>
      </w:pPr>
      <w:r>
        <w:rPr>
          <w:rFonts w:ascii="Arial" w:cs="Arial" w:eastAsia="Arial" w:hAnsi="Arial"/>
          <w:b w:val="false"/>
          <w:bCs w:val="false"/>
          <w:color w:val="333333"/>
          <w:sz w:val="22"/>
          <w:szCs w:val="22"/>
        </w:rPr>
        <w:t xml:space="preserve">No other fonts introduced. Font usage matches student dashboard pattern exactly.</w:t>
      </w:r>
    </w:p>
    <w:p>
      <w:pPr>
        <w:pStyle w:val="Heading2"/>
        <w:spacing w:before="280" w:after="80"/>
      </w:pPr>
      <w:r>
        <w:rPr>
          <w:rFonts w:ascii="Arial" w:cs="Arial" w:eastAsia="Arial" w:hAnsi="Arial"/>
          <w:b/>
          <w:bCs/>
          <w:color w:val="1A2A4A"/>
          <w:sz w:val="26"/>
          <w:szCs w:val="26"/>
        </w:rPr>
        <w:t xml:space="preserve">5.3 Role Accent Isolation</w:t>
      </w:r>
    </w:p>
    <w:p>
      <w:pPr>
        <w:spacing w:before="80" w:after="80"/>
      </w:pPr>
      <w:r>
        <w:rPr>
          <w:rFonts w:ascii="Arial" w:cs="Arial" w:eastAsia="Arial" w:hAnsi="Arial"/>
          <w:color w:val="333333"/>
          <w:sz w:val="22"/>
          <w:szCs w:val="22"/>
        </w:rPr>
        <w:t xml:space="preserve">Teacher accent (#7B5CFF purple) is used exclusively in all teacher pages — active nav borders, buttons, focus states, role badges, link colors. Researcher accent (#2BD9A0 teal) is used exclusively in researcher pages. Subject accent colors (lime/blue/teal/red/amber) are shared and role-agnostic.</w:t>
      </w:r>
    </w:p>
    <w:p>
      <w:pPr>
        <w:pStyle w:val="Heading2"/>
        <w:spacing w:before="280" w:after="80"/>
      </w:pPr>
      <w:r>
        <w:rPr>
          <w:rFonts w:ascii="Arial" w:cs="Arial" w:eastAsia="Arial" w:hAnsi="Arial"/>
          <w:b/>
          <w:bCs/>
          <w:color w:val="1A2A4A"/>
          <w:sz w:val="26"/>
          <w:szCs w:val="26"/>
        </w:rPr>
        <w:t xml:space="preserve">5.4 Empty States</w:t>
      </w:r>
    </w:p>
    <w:p>
      <w:pPr>
        <w:spacing w:before="80" w:after="80"/>
      </w:pPr>
      <w:r>
        <w:rPr>
          <w:rFonts w:ascii="Arial" w:cs="Arial" w:eastAsia="Arial" w:hAnsi="Arial"/>
          <w:color w:val="333333"/>
          <w:sz w:val="22"/>
          <w:szCs w:val="22"/>
        </w:rPr>
        <w:t xml:space="preserve">Every page with a list or table has a non-blank empty state — a centered icon, a one-line explanation, and an action CTA where applicable. This matches the product spec rule: 'Empty states are never blank.'</w:t>
      </w:r>
    </w:p>
    <w:p>
      <w:pPr>
        <w:pStyle w:val="Heading1"/>
        <w:spacing w:before="360" w:after="120"/>
      </w:pPr>
      <w:r>
        <w:rPr>
          <w:rFonts w:ascii="Arial" w:cs="Arial" w:eastAsia="Arial" w:hAnsi="Arial"/>
          <w:b/>
          <w:bCs/>
          <w:color w:val="1A2A4A"/>
          <w:sz w:val="34"/>
          <w:szCs w:val="34"/>
        </w:rPr>
        <w:t xml:space="preserve">6. Mock Data Strategy</w:t>
      </w:r>
    </w:p>
    <w:p>
      <w:pPr>
        <w:spacing w:before="80" w:after="80"/>
      </w:pPr>
      <w:r>
        <w:rPr>
          <w:rFonts w:ascii="Arial" w:cs="Arial" w:eastAsia="Arial" w:hAnsi="Arial"/>
          <w:color w:val="333333"/>
          <w:sz w:val="22"/>
          <w:szCs w:val="22"/>
        </w:rPr>
        <w:t xml:space="preserve">All 9 pages use hardcoded mock data, following the same deliberate strategy established in Session 3. Every mock constant is declared near the top of its file and labeled with a // REPLACE: comment pointing to the exact Firestore query or onSnapshot pattern it will be replaced with.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Teacher heatmap</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onSnapshot(doc(db,'classes',classId)) — heatmapCache field, filtered by subject</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Teacher students</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class doc studentIds → batch getDoc on users/{uid} → sessions per student</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Assignments</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class doc tasks array or tasks/ subcollection with addDoc / deleteDoc</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Class history</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query(sessions, where classId in classIds, orderBy createdAt, limit 200)</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DKG Explorer</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onSnapshot(doc(db,'dkg', subject)) — live DKG with version field</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Compare Groups</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query(sessions, where dkgVersion in publishedDKGs) — client-side cohort split</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Trends</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Same sessions query — client-side weekly T1/T2/T3 rollup per concept node</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Export</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POST /api/research/export — Railway FastAPI endpoint returning signed URL</w:t>
            </w:r>
          </w:p>
        </w:tc>
      </w:tr>
      <w:tr>
        <w:tc>
          <w:tcPr>
            <w:tcW w:type="dxa" w:w="22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Archive</w:t>
            </w:r>
          </w:p>
        </w:tc>
        <w:tc>
          <w:tcPr>
            <w:tcW w:type="dxa" w:w="71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query(sessions, where dkgVersion in publishedDKGs, orderBy createdAt, limit 500)</w:t>
            </w:r>
          </w:p>
        </w:tc>
      </w:tr>
    </w:tbl>
    <w:p>
      <w:pPr>
        <w:pStyle w:val="Heading1"/>
        <w:spacing w:before="360" w:after="120"/>
      </w:pPr>
      <w:r>
        <w:rPr>
          <w:rFonts w:ascii="Arial" w:cs="Arial" w:eastAsia="Arial" w:hAnsi="Arial"/>
          <w:b/>
          <w:bCs/>
          <w:color w:val="1A2A4A"/>
          <w:sz w:val="34"/>
          <w:szCs w:val="34"/>
        </w:rPr>
        <w:t xml:space="preserve">7. Open Issues</w:t>
      </w:r>
    </w:p>
    <w:p>
      <w:pPr>
        <w:pStyle w:val="ListParagraph"/>
        <w:numPr>
          <w:ilvl w:val="0"/>
          <w:numId w:val="2"/>
        </w:numPr>
        <w:spacing w:before="40" w:after="40"/>
      </w:pPr>
      <w:r>
        <w:rPr>
          <w:rFonts w:ascii="Arial" w:cs="Arial" w:eastAsia="Arial" w:hAnsi="Arial"/>
          <w:b w:val="false"/>
          <w:bCs w:val="false"/>
          <w:color w:val="333333"/>
          <w:sz w:val="22"/>
          <w:szCs w:val="22"/>
        </w:rPr>
        <w:t xml:space="preserve">Backend not deployed. FastAPI on Railway was fully drafted in Session 4 but deployment is deferred until the full frontend query loop has been validated with real data.</w:t>
      </w:r>
    </w:p>
    <w:p>
      <w:pPr>
        <w:pStyle w:val="ListParagraph"/>
        <w:numPr>
          <w:ilvl w:val="0"/>
          <w:numId w:val="2"/>
        </w:numPr>
        <w:spacing w:before="40" w:after="40"/>
      </w:pPr>
      <w:r>
        <w:rPr>
          <w:rFonts w:ascii="Arial" w:cs="Arial" w:eastAsia="Arial" w:hAnsi="Arial"/>
          <w:b w:val="false"/>
          <w:bCs w:val="false"/>
          <w:color w:val="333333"/>
          <w:sz w:val="22"/>
          <w:szCs w:val="22"/>
        </w:rPr>
        <w:t xml:space="preserve">No real Firestore data. All pages run on mock data. The next step is wiring Firestore onSnapshot listeners to replace mock constants one page at a time, starting with the pages that already have live listeners (teacher dashboard, researcher dashboard).</w:t>
      </w:r>
    </w:p>
    <w:p>
      <w:pPr>
        <w:pStyle w:val="ListParagraph"/>
        <w:numPr>
          <w:ilvl w:val="0"/>
          <w:numId w:val="2"/>
        </w:numPr>
        <w:spacing w:before="40" w:after="40"/>
      </w:pPr>
      <w:r>
        <w:rPr>
          <w:rFonts w:ascii="Arial" w:cs="Arial" w:eastAsia="Arial" w:hAnsi="Arial"/>
          <w:b w:val="false"/>
          <w:bCs w:val="false"/>
          <w:color w:val="333333"/>
          <w:sz w:val="22"/>
          <w:szCs w:val="22"/>
        </w:rPr>
        <w:t xml:space="preserve">Admin dashboard not built. The /dashboard/admin route defined in the routing architecture has no page.tsx. This is Phase 2 work and is not blocking Phase 1 exit.</w:t>
      </w:r>
    </w:p>
    <w:p>
      <w:pPr>
        <w:pStyle w:val="ListParagraph"/>
        <w:numPr>
          <w:ilvl w:val="0"/>
          <w:numId w:val="2"/>
        </w:numPr>
        <w:spacing w:before="40" w:after="40"/>
      </w:pPr>
      <w:r>
        <w:rPr>
          <w:rFonts w:ascii="Arial" w:cs="Arial" w:eastAsia="Arial" w:hAnsi="Arial"/>
          <w:b w:val="false"/>
          <w:bCs w:val="false"/>
          <w:color w:val="333333"/>
          <w:sz w:val="22"/>
          <w:szCs w:val="22"/>
        </w:rPr>
        <w:t xml:space="preserve">No payment integration. Pro plan gating is present as UI-level conditionals (TutorChat, practice limits) but Stripe/Razorpay is not wired. This is Phase 2.</w:t>
      </w:r>
    </w:p>
    <w:p>
      <w:pPr>
        <w:pStyle w:val="ListParagraph"/>
        <w:numPr>
          <w:ilvl w:val="0"/>
          <w:numId w:val="2"/>
        </w:numPr>
        <w:spacing w:before="40" w:after="40"/>
      </w:pPr>
      <w:r>
        <w:rPr>
          <w:rFonts w:ascii="Arial" w:cs="Arial" w:eastAsia="Arial" w:hAnsi="Arial"/>
          <w:b w:val="false"/>
          <w:bCs w:val="false"/>
          <w:color w:val="333333"/>
          <w:sz w:val="22"/>
          <w:szCs w:val="22"/>
        </w:rPr>
        <w:t xml:space="preserve">Mobile layout not validated. All pages were built desktop-first. Mobile breakpoints (768px, sidebar collapse to bottom nav) have not been tested.</w:t>
      </w:r>
    </w:p>
    <w:p>
      <w:pPr>
        <w:pStyle w:val="ListParagraph"/>
        <w:numPr>
          <w:ilvl w:val="0"/>
          <w:numId w:val="2"/>
        </w:numPr>
        <w:spacing w:before="40" w:after="40"/>
      </w:pPr>
      <w:r>
        <w:rPr>
          <w:rFonts w:ascii="Arial" w:cs="Arial" w:eastAsia="Arial" w:hAnsi="Arial"/>
          <w:b w:val="false"/>
          <w:bCs w:val="false"/>
          <w:color w:val="333333"/>
          <w:sz w:val="22"/>
          <w:szCs w:val="22"/>
        </w:rPr>
        <w:t xml:space="preserve">Canvas cleanup. The DKG Explorer and Trends chart canvases do not yet implement webglcontextlost handlers or explicit GPU resource cleanup. These are required by the product spec before production.</w:t>
      </w:r>
    </w:p>
    <w:p>
      <w:pPr>
        <w:pStyle w:val="Heading1"/>
        <w:spacing w:before="360" w:after="120"/>
      </w:pPr>
      <w:r>
        <w:rPr>
          <w:rFonts w:ascii="Arial" w:cs="Arial" w:eastAsia="Arial" w:hAnsi="Arial"/>
          <w:b/>
          <w:bCs/>
          <w:color w:val="1A2A4A"/>
          <w:sz w:val="34"/>
          <w:szCs w:val="34"/>
        </w:rPr>
        <w:t xml:space="preserve">8. What's Next — Session 6</w:t>
      </w:r>
    </w:p>
    <w:p>
      <w:pPr>
        <w:spacing w:before="80" w:after="80"/>
      </w:pPr>
      <w:r>
        <w:rPr>
          <w:rFonts w:ascii="Arial" w:cs="Arial" w:eastAsia="Arial" w:hAnsi="Arial"/>
          <w:color w:val="333333"/>
          <w:sz w:val="22"/>
          <w:szCs w:val="22"/>
        </w:rPr>
        <w:t xml:space="preserve">Session 5 completes the full frontend page tree. Every navigation link in every layout.tsx now resolves to a working page. The natural Session 6 focus is wiring the real data layer.</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Deploy FastAPI backend on Railway — /api/session/analyze, /api/health, /ws/stream all live.</w:t>
      </w:r>
    </w:p>
    <w:p>
      <w:pPr>
        <w:pStyle w:val="ListParagraph"/>
        <w:numPr>
          <w:ilvl w:val="0"/>
          <w:numId w:val="2"/>
        </w:numPr>
        <w:spacing w:before="40" w:after="40"/>
      </w:pPr>
      <w:r>
        <w:rPr>
          <w:rFonts w:ascii="Arial" w:cs="Arial" w:eastAsia="Arial" w:hAnsi="Arial"/>
          <w:b w:val="false"/>
          <w:bCs w:val="false"/>
          <w:color w:val="333333"/>
          <w:sz w:val="22"/>
          <w:szCs w:val="22"/>
        </w:rPr>
        <w:t xml:space="preserve">Wire the session page to the real backend — replace mock query lifecycle with the real FastAPI call and WebGL graph rendering from real SKG/DKG data.</w:t>
      </w:r>
    </w:p>
    <w:p>
      <w:pPr>
        <w:pStyle w:val="ListParagraph"/>
        <w:numPr>
          <w:ilvl w:val="0"/>
          <w:numId w:val="2"/>
        </w:numPr>
        <w:spacing w:before="40" w:after="40"/>
      </w:pPr>
      <w:r>
        <w:rPr>
          <w:rFonts w:ascii="Arial" w:cs="Arial" w:eastAsia="Arial" w:hAnsi="Arial"/>
          <w:b w:val="false"/>
          <w:bCs w:val="false"/>
          <w:color w:val="333333"/>
          <w:sz w:val="22"/>
          <w:szCs w:val="22"/>
        </w:rPr>
        <w:t xml:space="preserve">Wire Firestore onSnapshot listeners on all pages — replace // REPLACE: stubs with live queries. Priority order: Session page → Teacher dashboard → Teacher heatmap → Researcher archive.</w:t>
      </w:r>
    </w:p>
    <w:p>
      <w:pPr>
        <w:pStyle w:val="ListParagraph"/>
        <w:numPr>
          <w:ilvl w:val="0"/>
          <w:numId w:val="2"/>
        </w:numPr>
        <w:spacing w:before="40" w:after="40"/>
      </w:pPr>
      <w:r>
        <w:rPr>
          <w:rFonts w:ascii="Arial" w:cs="Arial" w:eastAsia="Arial" w:hAnsi="Arial"/>
          <w:b w:val="false"/>
          <w:bCs w:val="false"/>
          <w:color w:val="333333"/>
          <w:sz w:val="22"/>
          <w:szCs w:val="22"/>
        </w:rPr>
        <w:t xml:space="preserve">Build the first real DKG — Calculus subtopic with all core nodes and edges. Store in Firestore dkg/{subject}. Validate against 20 real student queries.</w:t>
      </w:r>
    </w:p>
    <w:p>
      <w:pPr>
        <w:pStyle w:val="ListParagraph"/>
        <w:numPr>
          <w:ilvl w:val="0"/>
          <w:numId w:val="2"/>
        </w:numPr>
        <w:spacing w:before="40" w:after="40"/>
      </w:pPr>
      <w:r>
        <w:rPr>
          <w:rFonts w:ascii="Arial" w:cs="Arial" w:eastAsia="Arial" w:hAnsi="Arial"/>
          <w:b w:val="false"/>
          <w:bCs w:val="false"/>
          <w:color w:val="333333"/>
          <w:sz w:val="22"/>
          <w:szCs w:val="22"/>
        </w:rPr>
        <w:t xml:space="preserve">Validate Phase 1 exit condition — a real user can sign up, ask a math question, and receive a live AI-driven knowledge graph response with tier classification.</w:t>
      </w:r>
    </w:p>
    <w:p>
      <w:pPr>
        <w:spacing w:before="160" w:after="0"/>
      </w:pPr>
    </w:p>
    <w:p>
      <w:pPr>
        <w:pBdr>
          <w:top w:val="single" w:color="C8D4E8" w:sz="4" w:space="6"/>
        </w:pBdr>
        <w:spacing w:before="80" w:after="40"/>
        <w:jc w:val="center"/>
      </w:pPr>
      <w:r>
        <w:rPr>
          <w:rFonts w:ascii="Arial" w:cs="Arial" w:eastAsia="Arial" w:hAnsi="Arial"/>
          <w:b/>
          <w:bCs/>
          <w:color w:val="1A2A4A"/>
          <w:sz w:val="20"/>
          <w:szCs w:val="20"/>
        </w:rPr>
        <w:t xml:space="preserve">End of Session 5 Build Log</w:t>
      </w:r>
    </w:p>
    <w:p>
      <w:pPr>
        <w:jc w:val="center"/>
      </w:pPr>
      <w:r>
        <w:rPr>
          <w:rFonts w:ascii="Courier New" w:cs="Courier New" w:eastAsia="Courier New" w:hAnsi="Courier New"/>
          <w:color w:val="888888"/>
          <w:sz w:val="16"/>
          <w:szCs w:val="16"/>
        </w:rPr>
        <w:t xml:space="preserve">VEKTOR Intelligence  ·  SIG Reality Spectra  ·  VIT Pune</w:t>
      </w:r>
    </w:p>
    <w:p>
      <w:pPr>
        <w:jc w:val="center"/>
      </w:pPr>
      <w:r>
        <w:rPr>
          <w:rFonts w:ascii="Arial" w:cs="Arial" w:eastAsia="Arial" w:hAnsi="Arial"/>
          <w:color w:val="0D7A6E"/>
          <w:sz w:val="18"/>
          <w:szCs w:val="18"/>
        </w:rPr>
        <w:t xml:space="preserve">Direction for every mind.</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8" w:sz="6" w:space="4"/>
      </w:pBdr>
      <w:spacing w:before="60"/>
    </w:pPr>
    <w:r>
      <w:rPr>
        <w:rFonts w:ascii="Courier New" w:cs="Courier New" w:eastAsia="Courier New" w:hAnsi="Courier New"/>
        <w:color w:val="888888"/>
        <w:sz w:val="16"/>
        <w:szCs w:val="16"/>
      </w:rPr>
      <w:t xml:space="preserve">VEKTOR Intelligence  ·  SIG Reality Spectra  ·  VIT Pune  ·  Direction for every mind.</w:t>
    </w:r>
    <w:r>
      <w:rPr>
        <w:rFonts w:ascii="Courier New" w:cs="Courier New" w:eastAsia="Courier New" w:hAnsi="Courier New"/>
        <w:color w:val="888888"/>
        <w:sz w:val="16"/>
        <w:szCs w:val="16"/>
      </w:rPr>
      <w:t xml:space="preserve">    Page </w:t>
    </w:r>
    <w:r>
      <w:rPr>
        <w:rFonts w:ascii="Courier New" w:cs="Courier New" w:eastAsia="Courier New" w:hAnsi="Courier New"/>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8" w:sz="6" w:space="4"/>
      </w:pBdr>
      <w:spacing w:after="60"/>
    </w:pPr>
    <w:r>
      <w:rPr>
        <w:rFonts w:ascii="Courier New" w:cs="Courier New" w:eastAsia="Courier New" w:hAnsi="Courier New"/>
        <w:color w:val="888888"/>
        <w:sz w:val="16"/>
        <w:szCs w:val="16"/>
      </w:rPr>
      <w:t xml:space="preserve">VEKTOR Intelligence  ·  Build Log &amp; Developer Documentation  ·  Session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A4A"/>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A2A4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D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2026-03-19T11:06:52.484Z</dcterms:created>
  <dcterms:modified xsi:type="dcterms:W3CDTF">2026-03-19T11:06:52.486Z</dcterms:modified>
</cp:coreProperties>
</file>

<file path=docProps/custom.xml><?xml version="1.0" encoding="utf-8"?>
<Properties xmlns="http://schemas.openxmlformats.org/officeDocument/2006/custom-properties" xmlns:vt="http://schemas.openxmlformats.org/officeDocument/2006/docPropsVTypes"/>
</file>