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0AE43A5B" w:rsidR="001502B2" w:rsidRPr="006D54FD" w:rsidRDefault="00215B17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15B17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9ADCA7E" w:rsidR="001502B2" w:rsidRPr="006D54FD" w:rsidRDefault="00215B17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15B17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7F310614" w:rsidR="001502B2" w:rsidRPr="006D54FD" w:rsidRDefault="00215B17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15B17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37109C93" w:rsidR="001502B2" w:rsidRDefault="00215B17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Métodos de pago e integración pasarela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3401C39E" w:rsidR="001502B2" w:rsidRDefault="00215B17" w:rsidP="00215B17">
            <w:pPr>
              <w:spacing w:after="0"/>
              <w:ind w:firstLine="708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-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215B17" w14:paraId="23D7F5E5" w14:textId="77777777" w:rsidTr="0081483F">
        <w:tc>
          <w:tcPr>
            <w:tcW w:w="5868" w:type="dxa"/>
          </w:tcPr>
          <w:p w14:paraId="6CF11FB1" w14:textId="77777777" w:rsidR="00215B17" w:rsidRPr="00215B17" w:rsidRDefault="00215B17" w:rsidP="00215B17">
            <w:pPr>
              <w:tabs>
                <w:tab w:val="left" w:pos="2250"/>
              </w:tabs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Implementar los métodos de pago del sistema E-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, desarrollando la integración con una pasarela de pagos externa (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Stripe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) y la funcionalidad de pago contra reembolso.</w:t>
            </w:r>
          </w:p>
          <w:p w14:paraId="7959A862" w14:textId="77777777" w:rsidR="00215B17" w:rsidRPr="00215B17" w:rsidRDefault="00215B17" w:rsidP="00215B17">
            <w:pPr>
              <w:tabs>
                <w:tab w:val="left" w:pos="2250"/>
              </w:tabs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El trabajo incluye la configuración del flujo de pago, la integración con la API de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Stripe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en modo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sandbox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, la creación de un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webhook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para recibir confirmaciones de pago y la actualización automática del estado del pedido y stock tras una transacción válida.</w:t>
            </w:r>
          </w:p>
          <w:p w14:paraId="2FED4093" w14:textId="1E07CE69" w:rsidR="00135E67" w:rsidRDefault="00215B17" w:rsidP="00215B17">
            <w:pPr>
              <w:tabs>
                <w:tab w:val="left" w:pos="2250"/>
              </w:tabs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El objetivo es garantizar un flujo de pago seguro, funcional y conforme al alcance del MVP.</w:t>
            </w:r>
          </w:p>
        </w:tc>
        <w:tc>
          <w:tcPr>
            <w:tcW w:w="4320" w:type="dxa"/>
          </w:tcPr>
          <w:p w14:paraId="1C3AFF03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El módulo de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(F</w:t>
            </w:r>
            <w:proofErr w:type="gram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-2) y el de catálogo (F</w:t>
            </w:r>
            <w:proofErr w:type="gram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-1) están completamente operativos.</w:t>
            </w:r>
          </w:p>
          <w:p w14:paraId="1E55C466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B5C3A45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Se dispone de credenciales de prueba (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sandbox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) para la integración con la API de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Stripe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  <w:p w14:paraId="7C345243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E44D570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El flujo CI/CD (F</w:t>
            </w:r>
            <w:proofErr w:type="gram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-4) ya permite despliegues automatizados para validar el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webhook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  <w:p w14:paraId="31BD28B1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0CEE3A5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El pago contra reembolso no requiere conexión a servicios externos.</w:t>
            </w:r>
          </w:p>
          <w:p w14:paraId="5C000682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080693B4" w:rsidR="001502B2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El equipo dispone de acceso al entorno de logs para validar las notificaciones de pago.</w:t>
            </w:r>
          </w:p>
        </w:tc>
        <w:tc>
          <w:tcPr>
            <w:tcW w:w="4352" w:type="dxa"/>
          </w:tcPr>
          <w:p w14:paraId="688F0DF4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Solo se implementarán los métodos de pago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Stripe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(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sandbox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) y contra reembolso.</w:t>
            </w:r>
          </w:p>
          <w:p w14:paraId="531748CB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F5076F4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No se almacenarán datos de tarjetas o credenciales de pago en la base de datos local.</w:t>
            </w:r>
          </w:p>
          <w:p w14:paraId="0CF03500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62E09FA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El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webhook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debe responder con código HTTP 200 ante una confirmación válida.</w:t>
            </w:r>
          </w:p>
          <w:p w14:paraId="5F41B8E0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75E495B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No se podrá completar el pedido si el pago no ha sido confirmado.</w:t>
            </w:r>
          </w:p>
          <w:p w14:paraId="77311C0B" w14:textId="77777777" w:rsidR="00215B17" w:rsidRPr="00215B17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320DD918" w:rsidR="001502B2" w:rsidRDefault="00215B17" w:rsidP="00215B1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El módulo debe cumplir las normas de seguridad establecidas en el Plan de Requisitos.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215B17" w14:paraId="26277915" w14:textId="77777777" w:rsidTr="00215B17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215B17" w:rsidRDefault="00215B17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215B17" w:rsidRDefault="00215B17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215B17" w:rsidRPr="00215B17" w14:paraId="5FEAFB90" w14:textId="77777777" w:rsidTr="00215B17">
        <w:tc>
          <w:tcPr>
            <w:tcW w:w="8755" w:type="dxa"/>
          </w:tcPr>
          <w:p w14:paraId="535CEDF3" w14:textId="3E6DFED3" w:rsidR="00215B17" w:rsidRDefault="00215B17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Métodos de pago e integración de pasarela</w:t>
            </w:r>
          </w:p>
        </w:tc>
        <w:tc>
          <w:tcPr>
            <w:tcW w:w="5812" w:type="dxa"/>
          </w:tcPr>
          <w:p w14:paraId="2F215C85" w14:textId="36FBFAD2" w:rsidR="00215B17" w:rsidRDefault="00215B17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23/10/2025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15B17" w14:paraId="151462C1" w14:textId="77777777" w:rsidTr="004743FE">
        <w:tc>
          <w:tcPr>
            <w:tcW w:w="738" w:type="dxa"/>
            <w:vAlign w:val="center"/>
          </w:tcPr>
          <w:p w14:paraId="550D3F60" w14:textId="0676E31F" w:rsidR="004743FE" w:rsidRDefault="00215B1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019</w:t>
            </w:r>
          </w:p>
        </w:tc>
        <w:tc>
          <w:tcPr>
            <w:tcW w:w="2170" w:type="dxa"/>
            <w:vAlign w:val="center"/>
          </w:tcPr>
          <w:p w14:paraId="78451FF0" w14:textId="2F9D058A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Configuración y validación de métodos de pago en checkout</w:t>
            </w:r>
          </w:p>
        </w:tc>
        <w:tc>
          <w:tcPr>
            <w:tcW w:w="1454" w:type="dxa"/>
            <w:vAlign w:val="center"/>
          </w:tcPr>
          <w:p w14:paraId="0EE720C5" w14:textId="42B960BA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proofErr w:type="spellStart"/>
            <w:r w:rsidRPr="00215B17">
              <w:rPr>
                <w:rFonts w:cs="Arial"/>
                <w:b/>
                <w:sz w:val="20"/>
                <w:szCs w:val="20"/>
              </w:rPr>
              <w:t>Desarrollador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</w:rPr>
              <w:t xml:space="preserve"> Backend</w:t>
            </w:r>
          </w:p>
        </w:tc>
        <w:tc>
          <w:tcPr>
            <w:tcW w:w="1454" w:type="dxa"/>
            <w:vAlign w:val="center"/>
          </w:tcPr>
          <w:p w14:paraId="53E0CC4E" w14:textId="2D7C615B" w:rsidR="004743FE" w:rsidRDefault="00215B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15B17" w14:paraId="0AFC61B5" w14:textId="77777777" w:rsidTr="004743FE">
        <w:tc>
          <w:tcPr>
            <w:tcW w:w="738" w:type="dxa"/>
            <w:vAlign w:val="center"/>
          </w:tcPr>
          <w:p w14:paraId="4A1D359E" w14:textId="44342C54" w:rsidR="004743FE" w:rsidRDefault="00215B1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020</w:t>
            </w:r>
          </w:p>
        </w:tc>
        <w:tc>
          <w:tcPr>
            <w:tcW w:w="2170" w:type="dxa"/>
            <w:vAlign w:val="center"/>
          </w:tcPr>
          <w:p w14:paraId="5D9ECE61" w14:textId="278AC017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Integración con la pasarela de pagos</w:t>
            </w:r>
          </w:p>
        </w:tc>
        <w:tc>
          <w:tcPr>
            <w:tcW w:w="1454" w:type="dxa"/>
            <w:vAlign w:val="center"/>
          </w:tcPr>
          <w:p w14:paraId="3060533B" w14:textId="094EF28F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proofErr w:type="spellStart"/>
            <w:r w:rsidRPr="00215B17">
              <w:rPr>
                <w:rFonts w:cs="Arial"/>
                <w:b/>
                <w:sz w:val="20"/>
                <w:szCs w:val="20"/>
              </w:rPr>
              <w:t>Desarrollador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</w:rPr>
              <w:t xml:space="preserve"> Full Stack</w:t>
            </w:r>
          </w:p>
        </w:tc>
        <w:tc>
          <w:tcPr>
            <w:tcW w:w="1454" w:type="dxa"/>
            <w:vAlign w:val="center"/>
          </w:tcPr>
          <w:p w14:paraId="7A65B8CD" w14:textId="17AFB64E" w:rsidR="004743FE" w:rsidRDefault="00215B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15B17" w14:paraId="765D4C3F" w14:textId="77777777" w:rsidTr="004743FE">
        <w:tc>
          <w:tcPr>
            <w:tcW w:w="738" w:type="dxa"/>
            <w:vAlign w:val="center"/>
          </w:tcPr>
          <w:p w14:paraId="0F3D146E" w14:textId="4BAA8456" w:rsidR="004743FE" w:rsidRDefault="00215B1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021</w:t>
            </w:r>
          </w:p>
        </w:tc>
        <w:tc>
          <w:tcPr>
            <w:tcW w:w="2170" w:type="dxa"/>
            <w:vAlign w:val="center"/>
          </w:tcPr>
          <w:p w14:paraId="354571DD" w14:textId="0F1713CB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Implementación del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Webhook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 de confirmación de pago</w:t>
            </w:r>
          </w:p>
        </w:tc>
        <w:tc>
          <w:tcPr>
            <w:tcW w:w="1454" w:type="dxa"/>
            <w:vAlign w:val="center"/>
          </w:tcPr>
          <w:p w14:paraId="442E0413" w14:textId="06260084" w:rsidR="004743FE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proofErr w:type="spellStart"/>
            <w:r w:rsidRPr="00215B17">
              <w:rPr>
                <w:rFonts w:cs="Arial"/>
                <w:b/>
                <w:sz w:val="20"/>
                <w:szCs w:val="20"/>
              </w:rPr>
              <w:t>Desarrollador</w:t>
            </w:r>
            <w:proofErr w:type="spellEnd"/>
            <w:r w:rsidRPr="00215B17">
              <w:rPr>
                <w:rFonts w:cs="Arial"/>
                <w:b/>
                <w:sz w:val="20"/>
                <w:szCs w:val="20"/>
              </w:rPr>
              <w:t xml:space="preserve"> Backend</w:t>
            </w:r>
          </w:p>
        </w:tc>
        <w:tc>
          <w:tcPr>
            <w:tcW w:w="1454" w:type="dxa"/>
            <w:vAlign w:val="center"/>
          </w:tcPr>
          <w:p w14:paraId="345F301C" w14:textId="4AF1846F" w:rsidR="004743FE" w:rsidRDefault="00215B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215B17" w14:paraId="3CECDD90" w14:textId="77777777" w:rsidTr="004743FE">
        <w:tc>
          <w:tcPr>
            <w:tcW w:w="738" w:type="dxa"/>
            <w:vAlign w:val="center"/>
          </w:tcPr>
          <w:p w14:paraId="74431088" w14:textId="28C75CCA" w:rsidR="00135E67" w:rsidRDefault="00215B1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022</w:t>
            </w:r>
          </w:p>
        </w:tc>
        <w:tc>
          <w:tcPr>
            <w:tcW w:w="2170" w:type="dxa"/>
            <w:vAlign w:val="center"/>
          </w:tcPr>
          <w:p w14:paraId="4BDE3727" w14:textId="2B9C00A2" w:rsidR="00135E67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Actualización de stock tras validación de pago</w:t>
            </w:r>
          </w:p>
        </w:tc>
        <w:tc>
          <w:tcPr>
            <w:tcW w:w="1454" w:type="dxa"/>
            <w:vAlign w:val="center"/>
          </w:tcPr>
          <w:p w14:paraId="26F6B5DA" w14:textId="6138A703" w:rsidR="00135E67" w:rsidRDefault="00215B1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215B17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+ QA</w:t>
            </w:r>
          </w:p>
        </w:tc>
        <w:tc>
          <w:tcPr>
            <w:tcW w:w="1454" w:type="dxa"/>
            <w:vAlign w:val="center"/>
          </w:tcPr>
          <w:p w14:paraId="61AB2823" w14:textId="2E7275B6" w:rsidR="00135E67" w:rsidRDefault="00215B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E2FAC8A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5FB249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EB6A106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F4C2E90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8A2F37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6251E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B5386" w14:textId="77777777" w:rsidR="00191A81" w:rsidRDefault="00191A81" w:rsidP="00837F2F">
      <w:pPr>
        <w:spacing w:after="0" w:line="240" w:lineRule="auto"/>
      </w:pPr>
      <w:r>
        <w:separator/>
      </w:r>
    </w:p>
  </w:endnote>
  <w:endnote w:type="continuationSeparator" w:id="0">
    <w:p w14:paraId="75279A0F" w14:textId="77777777" w:rsidR="00191A81" w:rsidRDefault="00191A8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3E485" w14:textId="77777777" w:rsidR="00191A81" w:rsidRDefault="00191A81" w:rsidP="00837F2F">
      <w:pPr>
        <w:spacing w:after="0" w:line="240" w:lineRule="auto"/>
      </w:pPr>
      <w:r>
        <w:separator/>
      </w:r>
    </w:p>
  </w:footnote>
  <w:footnote w:type="continuationSeparator" w:id="0">
    <w:p w14:paraId="3A64E712" w14:textId="77777777" w:rsidR="00191A81" w:rsidRDefault="00191A8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191A81"/>
    <w:rsid w:val="00203EA7"/>
    <w:rsid w:val="002064D6"/>
    <w:rsid w:val="00215B17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2025-10-14T19:41:00Z</dcterms:modified>
</cp:coreProperties>
</file>