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F4E5C"/>
          <w:sz w:val="40"/>
          <w:szCs w:val="40"/>
        </w:rPr>
        <w:t xml:space="preserve">Especificación de la ISA Vectorial Custom</w:t>
      </w:r>
    </w:p>
    <w:p>
      <w:pPr>
        <w:spacing w:after="60"/>
      </w:pPr>
      <w:r>
        <w:rPr>
          <w:color w:val="6B6B6B"/>
          <w:sz w:val="26"/>
          <w:szCs w:val="26"/>
        </w:rPr>
        <w:t xml:space="preserve">Fase 3 — Core RISC-V con Aceleración Vectorial para Kyber</w:t>
      </w:r>
    </w:p>
    <w:p>
      <w:pPr>
        <w:spacing w:after="400"/>
      </w:pPr>
      <w:r>
        <w:rPr>
          <w:i/>
          <w:iCs/>
          <w:color w:val="6B6B6B"/>
          <w:sz w:val="20"/>
          <w:szCs w:val="20"/>
        </w:rPr>
        <w:t xml:space="preserve">Documento de referencia — fuente de verdad para RTL (Fase 4) y firmware (Fase 5)</w:t>
      </w:r>
    </w:p>
    <w:p>
      <w:pPr>
        <w:pBdr>
          <w:bottom w:val="single" w:color="1F4E5C" w:sz="6" w:space="4"/>
        </w:pBdr>
        <w:spacing w:after="200"/>
      </w:pPr>
    </w:p>
    <w:p>
      <w:pPr>
        <w:pStyle w:val="Heading1"/>
        <w:spacing w:after="200" w:before="400"/>
      </w:pPr>
      <w:r>
        <w:t xml:space="preserve">1. Resumen y alcance</w:t>
      </w:r>
    </w:p>
    <w:p>
      <w:pPr>
        <w:spacing w:after="120"/>
      </w:pPr>
      <w:r>
        <w:t xml:space="preserve">Este documento define el conjunto completo de instrucciones custom para aceleración vectorial de Kyber/ML-KEM: su encoding exacto dentro del formato tipo R de RISC-V, su semántica, y las decisiones algorítmicas (reducción modular, NTT) que el hardware de la Fase 4 debe implementar. Es la fuente de verdad única para el RTL de la unidad vectorial y para las macros de ensamblador del firmware — cualquier cambio posterior a estas decisiones debe actualizarse aquí primero.</w:t>
      </w:r>
    </w:p>
    <w:p>
      <w:pPr>
        <w:pStyle w:val="Heading2"/>
        <w:spacing w:after="150" w:before="300"/>
      </w:pPr>
      <w:r>
        <w:t xml:space="preserve">Decisiones heredadas del Apéndice A (cronograma)</w:t>
      </w:r>
    </w:p>
    <w:p>
      <w:pPr>
        <w:pStyle w:val="ListParagraph"/>
        <w:numPr>
          <w:ilvl w:val="0"/>
          <w:numId w:val="1"/>
        </w:numPr>
        <w:spacing w:after="60"/>
      </w:pPr>
      <w:r>
        <w:t xml:space="preserve">Unidad vectorial desacoplada del pipeline escalar, interfaz busy/done (A.1)</w:t>
      </w:r>
    </w:p>
    <w:p>
      <w:pPr>
        <w:pStyle w:val="ListParagraph"/>
        <w:numPr>
          <w:ilvl w:val="0"/>
          <w:numId w:val="1"/>
        </w:numPr>
        <w:spacing w:after="60"/>
      </w:pPr>
      <w:r>
        <w:t xml:space="preserve">Banco de registros vectorial dedicado: 4 registros v0–v3, 128 palabras de 32 bits c/u — un polinomio Kyber completo (256 coeficientes de 16 bits) por registro (A.2)</w:t>
      </w:r>
    </w:p>
    <w:p>
      <w:pPr>
        <w:pStyle w:val="ListParagraph"/>
        <w:numPr>
          <w:ilvl w:val="0"/>
          <w:numId w:val="1"/>
        </w:numPr>
        <w:spacing w:after="60"/>
      </w:pPr>
      <w:r>
        <w:t xml:space="preserve">Firmware de prueba vía macros de GNU as que envuelven el encoding .word (A.3)</w:t>
      </w:r>
    </w:p>
    <w:p>
      <w:pPr>
        <w:pStyle w:val="ListParagraph"/>
        <w:numPr>
          <w:ilvl w:val="0"/>
          <w:numId w:val="1"/>
        </w:numPr>
        <w:spacing w:after="60"/>
      </w:pPr>
      <w:r>
        <w:t xml:space="preserve">Coherencia vía scoreboard simple de 4 bits; la unidad vectorial es un recurso único no pipelineado (A.4)</w:t>
      </w:r>
    </w:p>
    <w:p>
      <w:pPr>
        <w:pBdr>
          <w:bottom w:val="single" w:color="1F4E5C" w:sz="6" w:space="4"/>
        </w:pBdr>
        <w:spacing w:after="200"/>
      </w:pPr>
    </w:p>
    <w:p>
      <w:pPr>
        <w:pStyle w:val="Heading1"/>
        <w:spacing w:after="200" w:before="400"/>
      </w:pPr>
      <w:r>
        <w:t xml:space="preserve">2. Encoding de instrucciones</w:t>
      </w:r>
    </w:p>
    <w:p>
      <w:pPr>
        <w:pStyle w:val="Heading2"/>
        <w:spacing w:after="150" w:before="300"/>
      </w:pPr>
      <w:r>
        <w:t xml:space="preserve">2.1 — Opcode reservado</w:t>
      </w:r>
    </w:p>
    <w:p>
      <w:pPr>
        <w:spacing w:after="120"/>
      </w:pPr>
      <w:r>
        <w:t xml:space="preserve">Se usa el opcode custom-0 (0001011), uno de los cuatro rangos que RISC-V reserva explícitamente para extensiones no estándar (ver green card, tabla de opcodes). No colisiona con ninguna instrucción RV32I base.</w:t>
      </w:r>
    </w:p>
    <w:p>
      <w:pPr>
        <w:pStyle w:val="Heading2"/>
        <w:spacing w:after="150" w:before="300"/>
      </w:pPr>
      <w:r>
        <w:t xml:space="preserve">2.2 — Formato base (tipo R, RISC-V estándar)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300"/>
        <w:gridCol w:w="1500"/>
        <w:gridCol w:w="1600"/>
      </w:tblGrid>
      <w:tr>
        <w:tc>
          <w:tcPr>
            <w:tcW w:type="dxa" w:w="1500"/>
            <w:shd w:fill="1F4E5C" w:val="clear"/>
            <w:tcMar>
              <w:top w:type="dxa" w:w="80"/>
              <w:left w:type="dxa" w:w="100"/>
              <w:bottom w:type="dxa" w:w="80"/>
              <w:right w:type="dxa" w:w="100"/>
            </w:tcMar>
          </w:tcPr>
          <w:p>
            <w:pPr>
              <w:jc w:val="left"/>
            </w:pPr>
            <w:r>
              <w:rPr>
                <w:b/>
                <w:bCs/>
                <w:color w:val="FFFFFF"/>
                <w:sz w:val="19"/>
                <w:szCs w:val="19"/>
              </w:rPr>
              <w:t xml:space="preserve">31:25</w:t>
            </w:r>
          </w:p>
        </w:tc>
        <w:tc>
          <w:tcPr>
            <w:tcW w:type="dxa" w:w="1500"/>
            <w:shd w:fill="1F4E5C" w:val="clear"/>
            <w:tcMar>
              <w:top w:type="dxa" w:w="80"/>
              <w:left w:type="dxa" w:w="100"/>
              <w:bottom w:type="dxa" w:w="80"/>
              <w:right w:type="dxa" w:w="100"/>
            </w:tcMar>
          </w:tcPr>
          <w:p>
            <w:pPr>
              <w:jc w:val="left"/>
            </w:pPr>
            <w:r>
              <w:rPr>
                <w:b/>
                <w:bCs/>
                <w:color w:val="FFFFFF"/>
                <w:sz w:val="19"/>
                <w:szCs w:val="19"/>
              </w:rPr>
              <w:t xml:space="preserve">24:20</w:t>
            </w:r>
          </w:p>
        </w:tc>
        <w:tc>
          <w:tcPr>
            <w:tcW w:type="dxa" w:w="1500"/>
            <w:shd w:fill="1F4E5C" w:val="clear"/>
            <w:tcMar>
              <w:top w:type="dxa" w:w="80"/>
              <w:left w:type="dxa" w:w="100"/>
              <w:bottom w:type="dxa" w:w="80"/>
              <w:right w:type="dxa" w:w="100"/>
            </w:tcMar>
          </w:tcPr>
          <w:p>
            <w:pPr>
              <w:jc w:val="left"/>
            </w:pPr>
            <w:r>
              <w:rPr>
                <w:b/>
                <w:bCs/>
                <w:color w:val="FFFFFF"/>
                <w:sz w:val="19"/>
                <w:szCs w:val="19"/>
              </w:rPr>
              <w:t xml:space="preserve">19:15</w:t>
            </w:r>
          </w:p>
        </w:tc>
        <w:tc>
          <w:tcPr>
            <w:tcW w:type="dxa" w:w="1300"/>
            <w:shd w:fill="1F4E5C" w:val="clear"/>
            <w:tcMar>
              <w:top w:type="dxa" w:w="80"/>
              <w:left w:type="dxa" w:w="100"/>
              <w:bottom w:type="dxa" w:w="80"/>
              <w:right w:type="dxa" w:w="100"/>
            </w:tcMar>
          </w:tcPr>
          <w:p>
            <w:pPr>
              <w:jc w:val="left"/>
            </w:pPr>
            <w:r>
              <w:rPr>
                <w:b/>
                <w:bCs/>
                <w:color w:val="FFFFFF"/>
                <w:sz w:val="19"/>
                <w:szCs w:val="19"/>
              </w:rPr>
              <w:t xml:space="preserve">14:12</w:t>
            </w:r>
          </w:p>
        </w:tc>
        <w:tc>
          <w:tcPr>
            <w:tcW w:type="dxa" w:w="1500"/>
            <w:shd w:fill="1F4E5C" w:val="clear"/>
            <w:tcMar>
              <w:top w:type="dxa" w:w="80"/>
              <w:left w:type="dxa" w:w="100"/>
              <w:bottom w:type="dxa" w:w="80"/>
              <w:right w:type="dxa" w:w="100"/>
            </w:tcMar>
          </w:tcPr>
          <w:p>
            <w:pPr>
              <w:jc w:val="left"/>
            </w:pPr>
            <w:r>
              <w:rPr>
                <w:b/>
                <w:bCs/>
                <w:color w:val="FFFFFF"/>
                <w:sz w:val="19"/>
                <w:szCs w:val="19"/>
              </w:rPr>
              <w:t xml:space="preserve">11:7</w:t>
            </w:r>
          </w:p>
        </w:tc>
        <w:tc>
          <w:tcPr>
            <w:tcW w:type="dxa" w:w="1600"/>
            <w:shd w:fill="1F4E5C" w:val="clear"/>
            <w:tcMar>
              <w:top w:type="dxa" w:w="80"/>
              <w:left w:type="dxa" w:w="100"/>
              <w:bottom w:type="dxa" w:w="80"/>
              <w:right w:type="dxa" w:w="100"/>
            </w:tcMar>
          </w:tcPr>
          <w:p>
            <w:pPr>
              <w:jc w:val="left"/>
            </w:pPr>
            <w:r>
              <w:rPr>
                <w:b/>
                <w:bCs/>
                <w:color w:val="FFFFFF"/>
                <w:sz w:val="19"/>
                <w:szCs w:val="19"/>
              </w:rPr>
              <w:t xml:space="preserve">6:0</w:t>
            </w:r>
          </w:p>
        </w:tc>
      </w:tr>
      <w:tr>
        <w:tc>
          <w:tcPr>
            <w:tcW w:type="dxa" w:w="15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funct7</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rs2</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rs1</w:t>
            </w:r>
          </w:p>
        </w:tc>
        <w:tc>
          <w:tcPr>
            <w:tcW w:type="dxa" w:w="1300"/>
            <w:shd w:fill="EAF1F2" w:val="clear"/>
            <w:tcMar>
              <w:top w:type="dxa" w:w="80"/>
              <w:left w:type="dxa" w:w="100"/>
              <w:bottom w:type="dxa" w:w="80"/>
              <w:right w:type="dxa" w:w="100"/>
            </w:tcMar>
          </w:tcPr>
          <w:p>
            <w:pPr>
              <w:jc w:val="left"/>
            </w:pPr>
            <w:r>
              <w:rPr>
                <w:b w:val="false"/>
                <w:bCs w:val="false"/>
                <w:color w:val="1A1A1A"/>
                <w:sz w:val="19"/>
                <w:szCs w:val="19"/>
              </w:rPr>
              <w:t xml:space="preserve">funct3</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rd</w:t>
            </w:r>
          </w:p>
        </w:tc>
        <w:tc>
          <w:tcPr>
            <w:tcW w:type="dxa" w:w="1600"/>
            <w:shd w:fill="EAF1F2" w:val="clear"/>
            <w:tcMar>
              <w:top w:type="dxa" w:w="80"/>
              <w:left w:type="dxa" w:w="100"/>
              <w:bottom w:type="dxa" w:w="80"/>
              <w:right w:type="dxa" w:w="100"/>
            </w:tcMar>
          </w:tcPr>
          <w:p>
            <w:pPr>
              <w:jc w:val="left"/>
            </w:pPr>
            <w:r>
              <w:rPr>
                <w:b w:val="false"/>
                <w:bCs w:val="false"/>
                <w:color w:val="1A1A1A"/>
                <w:sz w:val="19"/>
                <w:szCs w:val="19"/>
              </w:rPr>
              <w:t xml:space="preserve">opcode</w:t>
            </w:r>
          </w:p>
        </w:tc>
      </w:tr>
    </w:tbl>
    <w:p>
      <w:pPr>
        <w:pStyle w:val="Heading2"/>
        <w:spacing w:after="150" w:before="300"/>
      </w:pPr>
      <w:r>
        <w:t xml:space="preserve">2.3 — Variante MEMORIA (vload, vstore)</w:t>
      </w:r>
    </w:p>
    <w:p>
      <w:pPr>
        <w:spacing w:after="120"/>
      </w:pPr>
      <w:r>
        <w:rPr>
          <w:sz w:val="21"/>
          <w:szCs w:val="21"/>
        </w:rPr>
        <w:t xml:space="preserve">rs1 es un registro escalar completo (x0–x31) con la dirección de memoria — igual convención que lw/sw en RV32I base. Solo rd[1:0] se decodifica como selector del registro vectorial (4 posiciones posibles); rd[4:2] quedan reservados/ignorados. rs2 y funct7 no se usan en esta variante y deben codificarse en 0 por convención.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100"/>
      </w:tblGrid>
      <w:tr>
        <w:tc>
          <w:tcPr>
            <w:tcW w:type="dxa" w:w="2000"/>
            <w:shd w:fill="1F4E5C" w:val="clear"/>
            <w:tcMar>
              <w:top w:type="dxa" w:w="80"/>
              <w:left w:type="dxa" w:w="100"/>
              <w:bottom w:type="dxa" w:w="80"/>
              <w:right w:type="dxa" w:w="100"/>
            </w:tcMar>
          </w:tcPr>
          <w:p>
            <w:pPr>
              <w:jc w:val="left"/>
            </w:pPr>
            <w:r>
              <w:rPr>
                <w:b/>
                <w:bCs/>
                <w:color w:val="FFFFFF"/>
                <w:sz w:val="19"/>
                <w:szCs w:val="19"/>
              </w:rPr>
              <w:t xml:space="preserve">Campo</w:t>
            </w:r>
          </w:p>
        </w:tc>
        <w:tc>
          <w:tcPr>
            <w:tcW w:type="dxa" w:w="1800"/>
            <w:shd w:fill="1F4E5C" w:val="clear"/>
            <w:tcMar>
              <w:top w:type="dxa" w:w="80"/>
              <w:left w:type="dxa" w:w="100"/>
              <w:bottom w:type="dxa" w:w="80"/>
              <w:right w:type="dxa" w:w="100"/>
            </w:tcMar>
          </w:tcPr>
          <w:p>
            <w:pPr>
              <w:jc w:val="left"/>
            </w:pPr>
            <w:r>
              <w:rPr>
                <w:b/>
                <w:bCs/>
                <w:color w:val="FFFFFF"/>
                <w:sz w:val="19"/>
                <w:szCs w:val="19"/>
              </w:rPr>
              <w:t xml:space="preserve">Bits</w:t>
            </w:r>
          </w:p>
        </w:tc>
        <w:tc>
          <w:tcPr>
            <w:tcW w:type="dxa" w:w="5100"/>
            <w:shd w:fill="1F4E5C" w:val="clear"/>
            <w:tcMar>
              <w:top w:type="dxa" w:w="80"/>
              <w:left w:type="dxa" w:w="100"/>
              <w:bottom w:type="dxa" w:w="80"/>
              <w:right w:type="dxa" w:w="100"/>
            </w:tcMar>
          </w:tcPr>
          <w:p>
            <w:pPr>
              <w:jc w:val="left"/>
            </w:pPr>
            <w:r>
              <w:rPr>
                <w:b/>
                <w:bCs/>
                <w:color w:val="FFFFFF"/>
                <w:sz w:val="19"/>
                <w:szCs w:val="19"/>
              </w:rPr>
              <w:t xml:space="preserve">Significado</w:t>
            </w:r>
          </w:p>
        </w:tc>
      </w:tr>
      <w:tr>
        <w:tc>
          <w:tcPr>
            <w:tcW w:type="dxa" w:w="20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rs1</w:t>
            </w:r>
          </w:p>
        </w:tc>
        <w:tc>
          <w:tcPr>
            <w:tcW w:type="dxa" w:w="1800"/>
            <w:shd w:fill="EAF1F2" w:val="clear"/>
            <w:tcMar>
              <w:top w:type="dxa" w:w="80"/>
              <w:left w:type="dxa" w:w="100"/>
              <w:bottom w:type="dxa" w:w="80"/>
              <w:right w:type="dxa" w:w="100"/>
            </w:tcMar>
          </w:tcPr>
          <w:p>
            <w:pPr>
              <w:jc w:val="left"/>
            </w:pPr>
            <w:r>
              <w:rPr>
                <w:b w:val="false"/>
                <w:bCs w:val="false"/>
                <w:color w:val="1A1A1A"/>
                <w:sz w:val="19"/>
                <w:szCs w:val="19"/>
              </w:rPr>
              <w:t xml:space="preserve">19:15</w:t>
            </w:r>
          </w:p>
        </w:tc>
        <w:tc>
          <w:tcPr>
            <w:tcW w:type="dxa" w:w="5100"/>
            <w:shd w:fill="EAF1F2" w:val="clear"/>
            <w:tcMar>
              <w:top w:type="dxa" w:w="80"/>
              <w:left w:type="dxa" w:w="100"/>
              <w:bottom w:type="dxa" w:w="80"/>
              <w:right w:type="dxa" w:w="100"/>
            </w:tcMar>
          </w:tcPr>
          <w:p>
            <w:pPr>
              <w:jc w:val="left"/>
            </w:pPr>
            <w:r>
              <w:rPr>
                <w:b w:val="false"/>
                <w:bCs w:val="false"/>
                <w:color w:val="1A1A1A"/>
                <w:sz w:val="19"/>
                <w:szCs w:val="19"/>
              </w:rPr>
              <w:t xml:space="preserve">Registro escalar con la dirección de memoria (puntero)</w:t>
            </w:r>
          </w:p>
        </w:tc>
      </w:tr>
      <w:tr>
        <w:tc>
          <w:tcPr>
            <w:tcW w:type="dxa" w:w="20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rd[1:0]</w:t>
            </w:r>
          </w:p>
        </w:tc>
        <w:tc>
          <w:tcPr>
            <w:tcW w:type="dxa" w:w="1800"/>
            <w:shd w:fill="FFFFFF" w:val="clear"/>
            <w:tcMar>
              <w:top w:type="dxa" w:w="80"/>
              <w:left w:type="dxa" w:w="100"/>
              <w:bottom w:type="dxa" w:w="80"/>
              <w:right w:type="dxa" w:w="100"/>
            </w:tcMar>
          </w:tcPr>
          <w:p>
            <w:pPr>
              <w:jc w:val="left"/>
            </w:pPr>
            <w:r>
              <w:rPr>
                <w:b w:val="false"/>
                <w:bCs w:val="false"/>
                <w:color w:val="1A1A1A"/>
                <w:sz w:val="19"/>
                <w:szCs w:val="19"/>
              </w:rPr>
              <w:t xml:space="preserve">8:7</w:t>
            </w:r>
          </w:p>
        </w:tc>
        <w:tc>
          <w:tcPr>
            <w:tcW w:type="dxa" w:w="5100"/>
            <w:shd w:fill="FFFFFF" w:val="clear"/>
            <w:tcMar>
              <w:top w:type="dxa" w:w="80"/>
              <w:left w:type="dxa" w:w="100"/>
              <w:bottom w:type="dxa" w:w="80"/>
              <w:right w:type="dxa" w:w="100"/>
            </w:tcMar>
          </w:tcPr>
          <w:p>
            <w:pPr>
              <w:jc w:val="left"/>
            </w:pPr>
            <w:r>
              <w:rPr>
                <w:b w:val="false"/>
                <w:bCs w:val="false"/>
                <w:color w:val="1A1A1A"/>
                <w:sz w:val="19"/>
                <w:szCs w:val="19"/>
              </w:rPr>
              <w:t xml:space="preserve">Registro vectorial destino (vload) u origen (vstore)</w:t>
            </w:r>
          </w:p>
        </w:tc>
      </w:tr>
      <w:tr>
        <w:tc>
          <w:tcPr>
            <w:tcW w:type="dxa" w:w="20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rd[4:2]</w:t>
            </w:r>
          </w:p>
        </w:tc>
        <w:tc>
          <w:tcPr>
            <w:tcW w:type="dxa" w:w="1800"/>
            <w:shd w:fill="EAF1F2" w:val="clear"/>
            <w:tcMar>
              <w:top w:type="dxa" w:w="80"/>
              <w:left w:type="dxa" w:w="100"/>
              <w:bottom w:type="dxa" w:w="80"/>
              <w:right w:type="dxa" w:w="100"/>
            </w:tcMar>
          </w:tcPr>
          <w:p>
            <w:pPr>
              <w:jc w:val="left"/>
            </w:pPr>
            <w:r>
              <w:rPr>
                <w:b w:val="false"/>
                <w:bCs w:val="false"/>
                <w:color w:val="1A1A1A"/>
                <w:sz w:val="19"/>
                <w:szCs w:val="19"/>
              </w:rPr>
              <w:t xml:space="preserve">11:9</w:t>
            </w:r>
          </w:p>
        </w:tc>
        <w:tc>
          <w:tcPr>
            <w:tcW w:type="dxa" w:w="5100"/>
            <w:shd w:fill="EAF1F2" w:val="clear"/>
            <w:tcMar>
              <w:top w:type="dxa" w:w="80"/>
              <w:left w:type="dxa" w:w="100"/>
              <w:bottom w:type="dxa" w:w="80"/>
              <w:right w:type="dxa" w:w="100"/>
            </w:tcMar>
          </w:tcPr>
          <w:p>
            <w:pPr>
              <w:jc w:val="left"/>
            </w:pPr>
            <w:r>
              <w:rPr>
                <w:b w:val="false"/>
                <w:bCs w:val="false"/>
                <w:color w:val="1A1A1A"/>
                <w:sz w:val="19"/>
                <w:szCs w:val="19"/>
              </w:rPr>
              <w:t xml:space="preserve">Reservado, debe ser 000</w:t>
            </w:r>
          </w:p>
        </w:tc>
      </w:tr>
      <w:tr>
        <w:tc>
          <w:tcPr>
            <w:tcW w:type="dxa" w:w="20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rs2, funct7</w:t>
            </w:r>
          </w:p>
        </w:tc>
        <w:tc>
          <w:tcPr>
            <w:tcW w:type="dxa" w:w="1800"/>
            <w:shd w:fill="FFFFFF" w:val="clear"/>
            <w:tcMar>
              <w:top w:type="dxa" w:w="80"/>
              <w:left w:type="dxa" w:w="100"/>
              <w:bottom w:type="dxa" w:w="80"/>
              <w:right w:type="dxa" w:w="100"/>
            </w:tcMar>
          </w:tcPr>
          <w:p>
            <w:pPr>
              <w:jc w:val="left"/>
            </w:pPr>
            <w:r>
              <w:rPr>
                <w:b w:val="false"/>
                <w:bCs w:val="false"/>
                <w:color w:val="1A1A1A"/>
                <w:sz w:val="19"/>
                <w:szCs w:val="19"/>
              </w:rPr>
              <w:t xml:space="preserve">24:20, 31:25</w:t>
            </w:r>
          </w:p>
        </w:tc>
        <w:tc>
          <w:tcPr>
            <w:tcW w:type="dxa" w:w="5100"/>
            <w:shd w:fill="FFFFFF" w:val="clear"/>
            <w:tcMar>
              <w:top w:type="dxa" w:w="80"/>
              <w:left w:type="dxa" w:w="100"/>
              <w:bottom w:type="dxa" w:w="80"/>
              <w:right w:type="dxa" w:w="100"/>
            </w:tcMar>
          </w:tcPr>
          <w:p>
            <w:pPr>
              <w:jc w:val="left"/>
            </w:pPr>
            <w:r>
              <w:rPr>
                <w:b w:val="false"/>
                <w:bCs w:val="false"/>
                <w:color w:val="1A1A1A"/>
                <w:sz w:val="19"/>
                <w:szCs w:val="19"/>
              </w:rPr>
              <w:t xml:space="preserve">Sin uso en esta variante, deben ser 0</w:t>
            </w:r>
          </w:p>
        </w:tc>
      </w:tr>
    </w:tbl>
    <w:p>
      <w:pPr>
        <w:pStyle w:val="Heading2"/>
        <w:spacing w:after="150" w:before="300"/>
      </w:pPr>
      <w:r>
        <w:t xml:space="preserve">2.4 — Variante CÓMPUTO (vntt, vintt, vpmul, vbarrett, vadd, vsub)</w:t>
      </w:r>
    </w:p>
    <w:p>
      <w:pPr>
        <w:spacing w:after="120"/>
      </w:pPr>
      <w:r>
        <w:rPr>
          <w:sz w:val="21"/>
          <w:szCs w:val="21"/>
        </w:rPr>
        <w:t xml:space="preserve">rs1[1:0], rs2[1:0] y rd[1:0] seleccionan registros vectoriales (4 posiciones cada uno). rs2 solo es relevante para instrucciones con dos operandos vectoriales de entrada (vpmul, vadd, vsub); para las de un solo operando (vntt, vintt, vbarrett) se ignora. funct7 queda reservado para extensión futura.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100"/>
      </w:tblGrid>
      <w:tr>
        <w:tc>
          <w:tcPr>
            <w:tcW w:type="dxa" w:w="2000"/>
            <w:shd w:fill="1F4E5C" w:val="clear"/>
            <w:tcMar>
              <w:top w:type="dxa" w:w="80"/>
              <w:left w:type="dxa" w:w="100"/>
              <w:bottom w:type="dxa" w:w="80"/>
              <w:right w:type="dxa" w:w="100"/>
            </w:tcMar>
          </w:tcPr>
          <w:p>
            <w:pPr>
              <w:jc w:val="left"/>
            </w:pPr>
            <w:r>
              <w:rPr>
                <w:b/>
                <w:bCs/>
                <w:color w:val="FFFFFF"/>
                <w:sz w:val="19"/>
                <w:szCs w:val="19"/>
              </w:rPr>
              <w:t xml:space="preserve">Campo</w:t>
            </w:r>
          </w:p>
        </w:tc>
        <w:tc>
          <w:tcPr>
            <w:tcW w:type="dxa" w:w="1800"/>
            <w:shd w:fill="1F4E5C" w:val="clear"/>
            <w:tcMar>
              <w:top w:type="dxa" w:w="80"/>
              <w:left w:type="dxa" w:w="100"/>
              <w:bottom w:type="dxa" w:w="80"/>
              <w:right w:type="dxa" w:w="100"/>
            </w:tcMar>
          </w:tcPr>
          <w:p>
            <w:pPr>
              <w:jc w:val="left"/>
            </w:pPr>
            <w:r>
              <w:rPr>
                <w:b/>
                <w:bCs/>
                <w:color w:val="FFFFFF"/>
                <w:sz w:val="19"/>
                <w:szCs w:val="19"/>
              </w:rPr>
              <w:t xml:space="preserve">Bits</w:t>
            </w:r>
          </w:p>
        </w:tc>
        <w:tc>
          <w:tcPr>
            <w:tcW w:type="dxa" w:w="5100"/>
            <w:shd w:fill="1F4E5C" w:val="clear"/>
            <w:tcMar>
              <w:top w:type="dxa" w:w="80"/>
              <w:left w:type="dxa" w:w="100"/>
              <w:bottom w:type="dxa" w:w="80"/>
              <w:right w:type="dxa" w:w="100"/>
            </w:tcMar>
          </w:tcPr>
          <w:p>
            <w:pPr>
              <w:jc w:val="left"/>
            </w:pPr>
            <w:r>
              <w:rPr>
                <w:b/>
                <w:bCs/>
                <w:color w:val="FFFFFF"/>
                <w:sz w:val="19"/>
                <w:szCs w:val="19"/>
              </w:rPr>
              <w:t xml:space="preserve">Significado</w:t>
            </w:r>
          </w:p>
        </w:tc>
      </w:tr>
      <w:tr>
        <w:tc>
          <w:tcPr>
            <w:tcW w:type="dxa" w:w="20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rs1[1:0]</w:t>
            </w:r>
          </w:p>
        </w:tc>
        <w:tc>
          <w:tcPr>
            <w:tcW w:type="dxa" w:w="1800"/>
            <w:shd w:fill="EAF1F2" w:val="clear"/>
            <w:tcMar>
              <w:top w:type="dxa" w:w="80"/>
              <w:left w:type="dxa" w:w="100"/>
              <w:bottom w:type="dxa" w:w="80"/>
              <w:right w:type="dxa" w:w="100"/>
            </w:tcMar>
          </w:tcPr>
          <w:p>
            <w:pPr>
              <w:jc w:val="left"/>
            </w:pPr>
            <w:r>
              <w:rPr>
                <w:b w:val="false"/>
                <w:bCs w:val="false"/>
                <w:color w:val="1A1A1A"/>
                <w:sz w:val="19"/>
                <w:szCs w:val="19"/>
              </w:rPr>
              <w:t xml:space="preserve">16:15</w:t>
            </w:r>
          </w:p>
        </w:tc>
        <w:tc>
          <w:tcPr>
            <w:tcW w:type="dxa" w:w="5100"/>
            <w:shd w:fill="EAF1F2" w:val="clear"/>
            <w:tcMar>
              <w:top w:type="dxa" w:w="80"/>
              <w:left w:type="dxa" w:w="100"/>
              <w:bottom w:type="dxa" w:w="80"/>
              <w:right w:type="dxa" w:w="100"/>
            </w:tcMar>
          </w:tcPr>
          <w:p>
            <w:pPr>
              <w:jc w:val="left"/>
            </w:pPr>
            <w:r>
              <w:rPr>
                <w:b w:val="false"/>
                <w:bCs w:val="false"/>
                <w:color w:val="1A1A1A"/>
                <w:sz w:val="19"/>
                <w:szCs w:val="19"/>
              </w:rPr>
              <w:t xml:space="preserve">Registro vectorial de entrada A</w:t>
            </w:r>
          </w:p>
        </w:tc>
      </w:tr>
      <w:tr>
        <w:tc>
          <w:tcPr>
            <w:tcW w:type="dxa" w:w="20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rs2[1:0]</w:t>
            </w:r>
          </w:p>
        </w:tc>
        <w:tc>
          <w:tcPr>
            <w:tcW w:type="dxa" w:w="1800"/>
            <w:shd w:fill="FFFFFF" w:val="clear"/>
            <w:tcMar>
              <w:top w:type="dxa" w:w="80"/>
              <w:left w:type="dxa" w:w="100"/>
              <w:bottom w:type="dxa" w:w="80"/>
              <w:right w:type="dxa" w:w="100"/>
            </w:tcMar>
          </w:tcPr>
          <w:p>
            <w:pPr>
              <w:jc w:val="left"/>
            </w:pPr>
            <w:r>
              <w:rPr>
                <w:b w:val="false"/>
                <w:bCs w:val="false"/>
                <w:color w:val="1A1A1A"/>
                <w:sz w:val="19"/>
                <w:szCs w:val="19"/>
              </w:rPr>
              <w:t xml:space="preserve">21:20</w:t>
            </w:r>
          </w:p>
        </w:tc>
        <w:tc>
          <w:tcPr>
            <w:tcW w:type="dxa" w:w="5100"/>
            <w:shd w:fill="FFFFFF" w:val="clear"/>
            <w:tcMar>
              <w:top w:type="dxa" w:w="80"/>
              <w:left w:type="dxa" w:w="100"/>
              <w:bottom w:type="dxa" w:w="80"/>
              <w:right w:type="dxa" w:w="100"/>
            </w:tcMar>
          </w:tcPr>
          <w:p>
            <w:pPr>
              <w:jc w:val="left"/>
            </w:pPr>
            <w:r>
              <w:rPr>
                <w:b w:val="false"/>
                <w:bCs w:val="false"/>
                <w:color w:val="1A1A1A"/>
                <w:sz w:val="19"/>
                <w:szCs w:val="19"/>
              </w:rPr>
              <w:t xml:space="preserve">Registro vectorial de entrada B (solo vpmul/vadd/vsub)</w:t>
            </w:r>
          </w:p>
        </w:tc>
      </w:tr>
      <w:tr>
        <w:tc>
          <w:tcPr>
            <w:tcW w:type="dxa" w:w="20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rd[1:0]</w:t>
            </w:r>
          </w:p>
        </w:tc>
        <w:tc>
          <w:tcPr>
            <w:tcW w:type="dxa" w:w="1800"/>
            <w:shd w:fill="EAF1F2" w:val="clear"/>
            <w:tcMar>
              <w:top w:type="dxa" w:w="80"/>
              <w:left w:type="dxa" w:w="100"/>
              <w:bottom w:type="dxa" w:w="80"/>
              <w:right w:type="dxa" w:w="100"/>
            </w:tcMar>
          </w:tcPr>
          <w:p>
            <w:pPr>
              <w:jc w:val="left"/>
            </w:pPr>
            <w:r>
              <w:rPr>
                <w:b w:val="false"/>
                <w:bCs w:val="false"/>
                <w:color w:val="1A1A1A"/>
                <w:sz w:val="19"/>
                <w:szCs w:val="19"/>
              </w:rPr>
              <w:t xml:space="preserve">8:7</w:t>
            </w:r>
          </w:p>
        </w:tc>
        <w:tc>
          <w:tcPr>
            <w:tcW w:type="dxa" w:w="5100"/>
            <w:shd w:fill="EAF1F2" w:val="clear"/>
            <w:tcMar>
              <w:top w:type="dxa" w:w="80"/>
              <w:left w:type="dxa" w:w="100"/>
              <w:bottom w:type="dxa" w:w="80"/>
              <w:right w:type="dxa" w:w="100"/>
            </w:tcMar>
          </w:tcPr>
          <w:p>
            <w:pPr>
              <w:jc w:val="left"/>
            </w:pPr>
            <w:r>
              <w:rPr>
                <w:b w:val="false"/>
                <w:bCs w:val="false"/>
                <w:color w:val="1A1A1A"/>
                <w:sz w:val="19"/>
                <w:szCs w:val="19"/>
              </w:rPr>
              <w:t xml:space="preserve">Registro vectorial destino</w:t>
            </w:r>
          </w:p>
        </w:tc>
      </w:tr>
      <w:tr>
        <w:tc>
          <w:tcPr>
            <w:tcW w:type="dxa" w:w="20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bits sin usar, funct7</w:t>
            </w:r>
          </w:p>
        </w:tc>
        <w:tc>
          <w:tcPr>
            <w:tcW w:type="dxa" w:w="1800"/>
            <w:shd w:fill="FFFFFF" w:val="clear"/>
            <w:tcMar>
              <w:top w:type="dxa" w:w="80"/>
              <w:left w:type="dxa" w:w="100"/>
              <w:bottom w:type="dxa" w:w="80"/>
              <w:right w:type="dxa" w:w="100"/>
            </w:tcMar>
          </w:tcPr>
          <w:p>
            <w:pPr>
              <w:jc w:val="left"/>
            </w:pPr>
            <w:r>
              <w:rPr>
                <w:b w:val="false"/>
                <w:bCs w:val="false"/>
                <w:color w:val="1A1A1A"/>
                <w:sz w:val="19"/>
                <w:szCs w:val="19"/>
              </w:rPr>
              <w:t xml:space="preserve">—</w:t>
            </w:r>
          </w:p>
        </w:tc>
        <w:tc>
          <w:tcPr>
            <w:tcW w:type="dxa" w:w="5100"/>
            <w:shd w:fill="FFFFFF" w:val="clear"/>
            <w:tcMar>
              <w:top w:type="dxa" w:w="80"/>
              <w:left w:type="dxa" w:w="100"/>
              <w:bottom w:type="dxa" w:w="80"/>
              <w:right w:type="dxa" w:w="100"/>
            </w:tcMar>
          </w:tcPr>
          <w:p>
            <w:pPr>
              <w:jc w:val="left"/>
            </w:pPr>
            <w:r>
              <w:rPr>
                <w:b w:val="false"/>
                <w:bCs w:val="false"/>
                <w:color w:val="1A1A1A"/>
                <w:sz w:val="19"/>
                <w:szCs w:val="19"/>
              </w:rPr>
              <w:t xml:space="preserve">Reservados, deben ser 0</w:t>
            </w:r>
          </w:p>
        </w:tc>
      </w:tr>
    </w:tbl>
    <w:p>
      <w:pPr>
        <w:pBdr>
          <w:bottom w:val="single" w:color="1F4E5C" w:sz="6" w:space="4"/>
        </w:pBdr>
        <w:spacing w:after="200"/>
      </w:pPr>
    </w:p>
    <w:p>
      <w:pPr>
        <w:pStyle w:val="Heading1"/>
        <w:spacing w:after="200" w:before="400"/>
      </w:pPr>
      <w:r>
        <w:t xml:space="preserve">3. Conjunto de instrucciones (funct3)</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4700"/>
      </w:tblGrid>
      <w:tr>
        <w:tc>
          <w:tcPr>
            <w:tcW w:type="dxa" w:w="1200"/>
            <w:shd w:fill="1F4E5C" w:val="clear"/>
            <w:tcMar>
              <w:top w:type="dxa" w:w="80"/>
              <w:left w:type="dxa" w:w="100"/>
              <w:bottom w:type="dxa" w:w="80"/>
              <w:right w:type="dxa" w:w="100"/>
            </w:tcMar>
          </w:tcPr>
          <w:p>
            <w:pPr>
              <w:jc w:val="left"/>
            </w:pPr>
            <w:r>
              <w:rPr>
                <w:b/>
                <w:bCs/>
                <w:color w:val="FFFFFF"/>
                <w:sz w:val="19"/>
                <w:szCs w:val="19"/>
              </w:rPr>
              <w:t xml:space="preserve">funct3</w:t>
            </w:r>
          </w:p>
        </w:tc>
        <w:tc>
          <w:tcPr>
            <w:tcW w:type="dxa" w:w="1500"/>
            <w:shd w:fill="1F4E5C" w:val="clear"/>
            <w:tcMar>
              <w:top w:type="dxa" w:w="80"/>
              <w:left w:type="dxa" w:w="100"/>
              <w:bottom w:type="dxa" w:w="80"/>
              <w:right w:type="dxa" w:w="100"/>
            </w:tcMar>
          </w:tcPr>
          <w:p>
            <w:pPr>
              <w:jc w:val="left"/>
            </w:pPr>
            <w:r>
              <w:rPr>
                <w:b/>
                <w:bCs/>
                <w:color w:val="FFFFFF"/>
                <w:sz w:val="19"/>
                <w:szCs w:val="19"/>
              </w:rPr>
              <w:t xml:space="preserve">Mnemonic</w:t>
            </w:r>
          </w:p>
        </w:tc>
        <w:tc>
          <w:tcPr>
            <w:tcW w:type="dxa" w:w="1500"/>
            <w:shd w:fill="1F4E5C" w:val="clear"/>
            <w:tcMar>
              <w:top w:type="dxa" w:w="80"/>
              <w:left w:type="dxa" w:w="100"/>
              <w:bottom w:type="dxa" w:w="80"/>
              <w:right w:type="dxa" w:w="100"/>
            </w:tcMar>
          </w:tcPr>
          <w:p>
            <w:pPr>
              <w:jc w:val="left"/>
            </w:pPr>
            <w:r>
              <w:rPr>
                <w:b/>
                <w:bCs/>
                <w:color w:val="FFFFFF"/>
                <w:sz w:val="19"/>
                <w:szCs w:val="19"/>
              </w:rPr>
              <w:t xml:space="preserve">Variante</w:t>
            </w:r>
          </w:p>
        </w:tc>
        <w:tc>
          <w:tcPr>
            <w:tcW w:type="dxa" w:w="4700"/>
            <w:shd w:fill="1F4E5C" w:val="clear"/>
            <w:tcMar>
              <w:top w:type="dxa" w:w="80"/>
              <w:left w:type="dxa" w:w="100"/>
              <w:bottom w:type="dxa" w:w="80"/>
              <w:right w:type="dxa" w:w="100"/>
            </w:tcMar>
          </w:tcPr>
          <w:p>
            <w:pPr>
              <w:jc w:val="left"/>
            </w:pPr>
            <w:r>
              <w:rPr>
                <w:b/>
                <w:bCs/>
                <w:color w:val="FFFFFF"/>
                <w:sz w:val="19"/>
                <w:szCs w:val="19"/>
              </w:rPr>
              <w:t xml:space="preserve">Semántica</w:t>
            </w:r>
          </w:p>
        </w:tc>
      </w:tr>
      <w:tr>
        <w:tc>
          <w:tcPr>
            <w:tcW w:type="dxa" w:w="12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000</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vload</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memoria</w:t>
            </w:r>
          </w:p>
        </w:tc>
        <w:tc>
          <w:tcPr>
            <w:tcW w:type="dxa" w:w="4700"/>
            <w:shd w:fill="EAF1F2" w:val="clear"/>
            <w:tcMar>
              <w:top w:type="dxa" w:w="80"/>
              <w:left w:type="dxa" w:w="100"/>
              <w:bottom w:type="dxa" w:w="80"/>
              <w:right w:type="dxa" w:w="100"/>
            </w:tcMar>
          </w:tcPr>
          <w:p>
            <w:pPr>
              <w:jc w:val="left"/>
            </w:pPr>
            <w:r>
              <w:rPr>
                <w:b w:val="false"/>
                <w:bCs w:val="false"/>
                <w:color w:val="1A1A1A"/>
                <w:sz w:val="19"/>
                <w:szCs w:val="19"/>
              </w:rPr>
              <w:t xml:space="preserve">Carga un polinomio completo desde memoria (dirección en rs1) al registro vectorial rd</w:t>
            </w:r>
          </w:p>
        </w:tc>
      </w:tr>
      <w:tr>
        <w:tc>
          <w:tcPr>
            <w:tcW w:type="dxa" w:w="12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001</w:t>
            </w:r>
          </w:p>
        </w:tc>
        <w:tc>
          <w:tcPr>
            <w:tcW w:type="dxa" w:w="1500"/>
            <w:shd w:fill="FFFFFF" w:val="clear"/>
            <w:tcMar>
              <w:top w:type="dxa" w:w="80"/>
              <w:left w:type="dxa" w:w="100"/>
              <w:bottom w:type="dxa" w:w="80"/>
              <w:right w:type="dxa" w:w="100"/>
            </w:tcMar>
          </w:tcPr>
          <w:p>
            <w:pPr>
              <w:jc w:val="left"/>
            </w:pPr>
            <w:r>
              <w:rPr>
                <w:b w:val="false"/>
                <w:bCs w:val="false"/>
                <w:color w:val="1A1A1A"/>
                <w:sz w:val="19"/>
                <w:szCs w:val="19"/>
              </w:rPr>
              <w:t xml:space="preserve">vstore</w:t>
            </w:r>
          </w:p>
        </w:tc>
        <w:tc>
          <w:tcPr>
            <w:tcW w:type="dxa" w:w="1500"/>
            <w:shd w:fill="FFFFFF" w:val="clear"/>
            <w:tcMar>
              <w:top w:type="dxa" w:w="80"/>
              <w:left w:type="dxa" w:w="100"/>
              <w:bottom w:type="dxa" w:w="80"/>
              <w:right w:type="dxa" w:w="100"/>
            </w:tcMar>
          </w:tcPr>
          <w:p>
            <w:pPr>
              <w:jc w:val="left"/>
            </w:pPr>
            <w:r>
              <w:rPr>
                <w:b w:val="false"/>
                <w:bCs w:val="false"/>
                <w:color w:val="1A1A1A"/>
                <w:sz w:val="19"/>
                <w:szCs w:val="19"/>
              </w:rPr>
              <w:t xml:space="preserve">memoria</w:t>
            </w:r>
          </w:p>
        </w:tc>
        <w:tc>
          <w:tcPr>
            <w:tcW w:type="dxa" w:w="4700"/>
            <w:shd w:fill="FFFFFF" w:val="clear"/>
            <w:tcMar>
              <w:top w:type="dxa" w:w="80"/>
              <w:left w:type="dxa" w:w="100"/>
              <w:bottom w:type="dxa" w:w="80"/>
              <w:right w:type="dxa" w:w="100"/>
            </w:tcMar>
          </w:tcPr>
          <w:p>
            <w:pPr>
              <w:jc w:val="left"/>
            </w:pPr>
            <w:r>
              <w:rPr>
                <w:b w:val="false"/>
                <w:bCs w:val="false"/>
                <w:color w:val="1A1A1A"/>
                <w:sz w:val="19"/>
                <w:szCs w:val="19"/>
              </w:rPr>
              <w:t xml:space="preserve">Guarda el registro vectorial rd a memoria (dirección en rs1)</w:t>
            </w:r>
          </w:p>
        </w:tc>
      </w:tr>
      <w:tr>
        <w:tc>
          <w:tcPr>
            <w:tcW w:type="dxa" w:w="12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010</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vntt</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cómputo</w:t>
            </w:r>
          </w:p>
        </w:tc>
        <w:tc>
          <w:tcPr>
            <w:tcW w:type="dxa" w:w="4700"/>
            <w:shd w:fill="EAF1F2" w:val="clear"/>
            <w:tcMar>
              <w:top w:type="dxa" w:w="80"/>
              <w:left w:type="dxa" w:w="100"/>
              <w:bottom w:type="dxa" w:w="80"/>
              <w:right w:type="dxa" w:w="100"/>
            </w:tcMar>
          </w:tcPr>
          <w:p>
            <w:pPr>
              <w:jc w:val="left"/>
            </w:pPr>
            <w:r>
              <w:rPr>
                <w:b w:val="false"/>
                <w:bCs w:val="false"/>
                <w:color w:val="1A1A1A"/>
                <w:sz w:val="19"/>
                <w:szCs w:val="19"/>
              </w:rPr>
              <w:t xml:space="preserve">NTT forward sobre el registro vectorial de entrada, resultado en rd</w:t>
            </w:r>
          </w:p>
        </w:tc>
      </w:tr>
      <w:tr>
        <w:tc>
          <w:tcPr>
            <w:tcW w:type="dxa" w:w="12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011</w:t>
            </w:r>
          </w:p>
        </w:tc>
        <w:tc>
          <w:tcPr>
            <w:tcW w:type="dxa" w:w="1500"/>
            <w:shd w:fill="FFFFFF" w:val="clear"/>
            <w:tcMar>
              <w:top w:type="dxa" w:w="80"/>
              <w:left w:type="dxa" w:w="100"/>
              <w:bottom w:type="dxa" w:w="80"/>
              <w:right w:type="dxa" w:w="100"/>
            </w:tcMar>
          </w:tcPr>
          <w:p>
            <w:pPr>
              <w:jc w:val="left"/>
            </w:pPr>
            <w:r>
              <w:rPr>
                <w:b w:val="false"/>
                <w:bCs w:val="false"/>
                <w:color w:val="1A1A1A"/>
                <w:sz w:val="19"/>
                <w:szCs w:val="19"/>
              </w:rPr>
              <w:t xml:space="preserve">vintt</w:t>
            </w:r>
          </w:p>
        </w:tc>
        <w:tc>
          <w:tcPr>
            <w:tcW w:type="dxa" w:w="1500"/>
            <w:shd w:fill="FFFFFF" w:val="clear"/>
            <w:tcMar>
              <w:top w:type="dxa" w:w="80"/>
              <w:left w:type="dxa" w:w="100"/>
              <w:bottom w:type="dxa" w:w="80"/>
              <w:right w:type="dxa" w:w="100"/>
            </w:tcMar>
          </w:tcPr>
          <w:p>
            <w:pPr>
              <w:jc w:val="left"/>
            </w:pPr>
            <w:r>
              <w:rPr>
                <w:b w:val="false"/>
                <w:bCs w:val="false"/>
                <w:color w:val="1A1A1A"/>
                <w:sz w:val="19"/>
                <w:szCs w:val="19"/>
              </w:rPr>
              <w:t xml:space="preserve">cómputo</w:t>
            </w:r>
          </w:p>
        </w:tc>
        <w:tc>
          <w:tcPr>
            <w:tcW w:type="dxa" w:w="4700"/>
            <w:shd w:fill="FFFFFF" w:val="clear"/>
            <w:tcMar>
              <w:top w:type="dxa" w:w="80"/>
              <w:left w:type="dxa" w:w="100"/>
              <w:bottom w:type="dxa" w:w="80"/>
              <w:right w:type="dxa" w:w="100"/>
            </w:tcMar>
          </w:tcPr>
          <w:p>
            <w:pPr>
              <w:jc w:val="left"/>
            </w:pPr>
            <w:r>
              <w:rPr>
                <w:b w:val="false"/>
                <w:bCs w:val="false"/>
                <w:color w:val="1A1A1A"/>
                <w:sz w:val="19"/>
                <w:szCs w:val="19"/>
              </w:rPr>
              <w:t xml:space="preserve">NTT inverso, resultado en rd</w:t>
            </w:r>
          </w:p>
        </w:tc>
      </w:tr>
      <w:tr>
        <w:tc>
          <w:tcPr>
            <w:tcW w:type="dxa" w:w="12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100</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vpmul</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cómputo</w:t>
            </w:r>
          </w:p>
        </w:tc>
        <w:tc>
          <w:tcPr>
            <w:tcW w:type="dxa" w:w="4700"/>
            <w:shd w:fill="EAF1F2" w:val="clear"/>
            <w:tcMar>
              <w:top w:type="dxa" w:w="80"/>
              <w:left w:type="dxa" w:w="100"/>
              <w:bottom w:type="dxa" w:w="80"/>
              <w:right w:type="dxa" w:w="100"/>
            </w:tcMar>
          </w:tcPr>
          <w:p>
            <w:pPr>
              <w:jc w:val="left"/>
            </w:pPr>
            <w:r>
              <w:rPr>
                <w:b w:val="false"/>
                <w:bCs w:val="false"/>
                <w:color w:val="1A1A1A"/>
                <w:sz w:val="19"/>
                <w:szCs w:val="19"/>
              </w:rPr>
              <w:t xml:space="preserve">Multiplicación punto a punto de dos polinomios en dominio NTT</w:t>
            </w:r>
          </w:p>
        </w:tc>
      </w:tr>
      <w:tr>
        <w:tc>
          <w:tcPr>
            <w:tcW w:type="dxa" w:w="12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101</w:t>
            </w:r>
          </w:p>
        </w:tc>
        <w:tc>
          <w:tcPr>
            <w:tcW w:type="dxa" w:w="1500"/>
            <w:shd w:fill="FFFFFF" w:val="clear"/>
            <w:tcMar>
              <w:top w:type="dxa" w:w="80"/>
              <w:left w:type="dxa" w:w="100"/>
              <w:bottom w:type="dxa" w:w="80"/>
              <w:right w:type="dxa" w:w="100"/>
            </w:tcMar>
          </w:tcPr>
          <w:p>
            <w:pPr>
              <w:jc w:val="left"/>
            </w:pPr>
            <w:r>
              <w:rPr>
                <w:b w:val="false"/>
                <w:bCs w:val="false"/>
                <w:color w:val="1A1A1A"/>
                <w:sz w:val="19"/>
                <w:szCs w:val="19"/>
              </w:rPr>
              <w:t xml:space="preserve">vbarrett</w:t>
            </w:r>
          </w:p>
        </w:tc>
        <w:tc>
          <w:tcPr>
            <w:tcW w:type="dxa" w:w="1500"/>
            <w:shd w:fill="FFFFFF" w:val="clear"/>
            <w:tcMar>
              <w:top w:type="dxa" w:w="80"/>
              <w:left w:type="dxa" w:w="100"/>
              <w:bottom w:type="dxa" w:w="80"/>
              <w:right w:type="dxa" w:w="100"/>
            </w:tcMar>
          </w:tcPr>
          <w:p>
            <w:pPr>
              <w:jc w:val="left"/>
            </w:pPr>
            <w:r>
              <w:rPr>
                <w:b w:val="false"/>
                <w:bCs w:val="false"/>
                <w:color w:val="1A1A1A"/>
                <w:sz w:val="19"/>
                <w:szCs w:val="19"/>
              </w:rPr>
              <w:t xml:space="preserve">cómputo</w:t>
            </w:r>
          </w:p>
        </w:tc>
        <w:tc>
          <w:tcPr>
            <w:tcW w:type="dxa" w:w="4700"/>
            <w:shd w:fill="FFFFFF" w:val="clear"/>
            <w:tcMar>
              <w:top w:type="dxa" w:w="80"/>
              <w:left w:type="dxa" w:w="100"/>
              <w:bottom w:type="dxa" w:w="80"/>
              <w:right w:type="dxa" w:w="100"/>
            </w:tcMar>
          </w:tcPr>
          <w:p>
            <w:pPr>
              <w:jc w:val="left"/>
            </w:pPr>
            <w:r>
              <w:rPr>
                <w:b w:val="false"/>
                <w:bCs w:val="false"/>
                <w:color w:val="1A1A1A"/>
                <w:sz w:val="19"/>
                <w:szCs w:val="19"/>
              </w:rPr>
              <w:t xml:space="preserve">Reducción modular Barrett de todos los coeficientes del registro</w:t>
            </w:r>
          </w:p>
        </w:tc>
      </w:tr>
      <w:tr>
        <w:tc>
          <w:tcPr>
            <w:tcW w:type="dxa" w:w="12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110</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vadd</w:t>
            </w:r>
          </w:p>
        </w:tc>
        <w:tc>
          <w:tcPr>
            <w:tcW w:type="dxa" w:w="1500"/>
            <w:shd w:fill="EAF1F2" w:val="clear"/>
            <w:tcMar>
              <w:top w:type="dxa" w:w="80"/>
              <w:left w:type="dxa" w:w="100"/>
              <w:bottom w:type="dxa" w:w="80"/>
              <w:right w:type="dxa" w:w="100"/>
            </w:tcMar>
          </w:tcPr>
          <w:p>
            <w:pPr>
              <w:jc w:val="left"/>
            </w:pPr>
            <w:r>
              <w:rPr>
                <w:b w:val="false"/>
                <w:bCs w:val="false"/>
                <w:color w:val="1A1A1A"/>
                <w:sz w:val="19"/>
                <w:szCs w:val="19"/>
              </w:rPr>
              <w:t xml:space="preserve">cómputo</w:t>
            </w:r>
          </w:p>
        </w:tc>
        <w:tc>
          <w:tcPr>
            <w:tcW w:type="dxa" w:w="4700"/>
            <w:shd w:fill="EAF1F2" w:val="clear"/>
            <w:tcMar>
              <w:top w:type="dxa" w:w="80"/>
              <w:left w:type="dxa" w:w="100"/>
              <w:bottom w:type="dxa" w:w="80"/>
              <w:right w:type="dxa" w:w="100"/>
            </w:tcMar>
          </w:tcPr>
          <w:p>
            <w:pPr>
              <w:jc w:val="left"/>
            </w:pPr>
            <w:r>
              <w:rPr>
                <w:b w:val="false"/>
                <w:bCs w:val="false"/>
                <w:color w:val="1A1A1A"/>
                <w:sz w:val="19"/>
                <w:szCs w:val="19"/>
              </w:rPr>
              <w:t xml:space="preserve">Suma de polinomios, coeficiente a coeficiente, mod q</w:t>
            </w:r>
          </w:p>
        </w:tc>
      </w:tr>
      <w:tr>
        <w:tc>
          <w:tcPr>
            <w:tcW w:type="dxa" w:w="12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111</w:t>
            </w:r>
          </w:p>
        </w:tc>
        <w:tc>
          <w:tcPr>
            <w:tcW w:type="dxa" w:w="1500"/>
            <w:shd w:fill="FFFFFF" w:val="clear"/>
            <w:tcMar>
              <w:top w:type="dxa" w:w="80"/>
              <w:left w:type="dxa" w:w="100"/>
              <w:bottom w:type="dxa" w:w="80"/>
              <w:right w:type="dxa" w:w="100"/>
            </w:tcMar>
          </w:tcPr>
          <w:p>
            <w:pPr>
              <w:jc w:val="left"/>
            </w:pPr>
            <w:r>
              <w:rPr>
                <w:b w:val="false"/>
                <w:bCs w:val="false"/>
                <w:color w:val="1A1A1A"/>
                <w:sz w:val="19"/>
                <w:szCs w:val="19"/>
              </w:rPr>
              <w:t xml:space="preserve">vsub</w:t>
            </w:r>
          </w:p>
        </w:tc>
        <w:tc>
          <w:tcPr>
            <w:tcW w:type="dxa" w:w="1500"/>
            <w:shd w:fill="FFFFFF" w:val="clear"/>
            <w:tcMar>
              <w:top w:type="dxa" w:w="80"/>
              <w:left w:type="dxa" w:w="100"/>
              <w:bottom w:type="dxa" w:w="80"/>
              <w:right w:type="dxa" w:w="100"/>
            </w:tcMar>
          </w:tcPr>
          <w:p>
            <w:pPr>
              <w:jc w:val="left"/>
            </w:pPr>
            <w:r>
              <w:rPr>
                <w:b w:val="false"/>
                <w:bCs w:val="false"/>
                <w:color w:val="1A1A1A"/>
                <w:sz w:val="19"/>
                <w:szCs w:val="19"/>
              </w:rPr>
              <w:t xml:space="preserve">cómputo</w:t>
            </w:r>
          </w:p>
        </w:tc>
        <w:tc>
          <w:tcPr>
            <w:tcW w:type="dxa" w:w="4700"/>
            <w:shd w:fill="FFFFFF" w:val="clear"/>
            <w:tcMar>
              <w:top w:type="dxa" w:w="80"/>
              <w:left w:type="dxa" w:w="100"/>
              <w:bottom w:type="dxa" w:w="80"/>
              <w:right w:type="dxa" w:w="100"/>
            </w:tcMar>
          </w:tcPr>
          <w:p>
            <w:pPr>
              <w:jc w:val="left"/>
            </w:pPr>
            <w:r>
              <w:rPr>
                <w:b w:val="false"/>
                <w:bCs w:val="false"/>
                <w:color w:val="1A1A1A"/>
                <w:sz w:val="19"/>
                <w:szCs w:val="19"/>
              </w:rPr>
              <w:t xml:space="preserve">Resta de polinomios, coeficiente a coeficiente, mod q</w:t>
            </w:r>
          </w:p>
        </w:tc>
      </w:tr>
    </w:tbl>
    <w:p>
      <w:pPr>
        <w:spacing w:after="100" w:before="150"/>
      </w:pPr>
      <w:r>
        <w:rPr>
          <w:i/>
          <w:iCs/>
          <w:color w:val="6B6B6B"/>
          <w:sz w:val="20"/>
          <w:szCs w:val="20"/>
        </w:rPr>
        <w:t xml:space="preserve">Las 8 combinaciones de funct3 quedan asignadas — cubren el conjunto completo de operaciones que Kyber necesita (keygen, encapsulation, decapsulation usan suma/resta de polinomios en las tres fases, ver análisis de diseño). Una novena operación futura requeriría usar funct7 para extender el espacio de codificación.</w:t>
      </w:r>
    </w:p>
    <w:p>
      <w:pPr>
        <w:pBdr>
          <w:bottom w:val="single" w:color="1F4E5C" w:sz="6" w:space="4"/>
        </w:pBdr>
        <w:spacing w:after="200"/>
      </w:pPr>
    </w:p>
    <w:p>
      <w:pPr>
        <w:pStyle w:val="Heading1"/>
        <w:spacing w:after="200" w:before="400"/>
      </w:pPr>
      <w:r>
        <w:t xml:space="preserve">4. Análisis constant-time</w:t>
      </w:r>
    </w:p>
    <w:p>
      <w:pPr>
        <w:spacing w:after="120"/>
      </w:pPr>
      <w:r>
        <w:t xml:space="preserve">Kyber opera sobre datos secretos (clave privada, ruido, mensaje). Si el tiempo de ejecución de una instrucción varía según el VALOR de un coeficiente secreto (no solo su tamaño, que es público y fijo — siempre 256 coeficientes), un atacante que mide tiempos de ejecución puede inferir bits de la clave privada sin romper ninguna matemática. Regla dura: ningún camino de control (branch, número de ciclos, acceso a memoria condicional) puede depender del valor de un coeficiente secreto.</w:t>
      </w:r>
    </w:p>
    <w:p>
      <w:pPr>
        <w:pStyle w:val="Heading2"/>
        <w:spacing w:after="150" w:before="300"/>
      </w:pPr>
      <w:r>
        <w:t xml:space="preserve">4.1 — Evaluación por operación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100"/>
      </w:tblGrid>
      <w:tr>
        <w:tc>
          <w:tcPr>
            <w:tcW w:type="dxa" w:w="1800"/>
            <w:shd w:fill="1F4E5C" w:val="clear"/>
            <w:tcMar>
              <w:top w:type="dxa" w:w="80"/>
              <w:left w:type="dxa" w:w="100"/>
              <w:bottom w:type="dxa" w:w="80"/>
              <w:right w:type="dxa" w:w="100"/>
            </w:tcMar>
          </w:tcPr>
          <w:p>
            <w:pPr>
              <w:jc w:val="left"/>
            </w:pPr>
            <w:r>
              <w:rPr>
                <w:b/>
                <w:bCs/>
                <w:color w:val="FFFFFF"/>
                <w:sz w:val="19"/>
                <w:szCs w:val="19"/>
              </w:rPr>
              <w:t xml:space="preserve">Instrucción</w:t>
            </w:r>
          </w:p>
        </w:tc>
        <w:tc>
          <w:tcPr>
            <w:tcW w:type="dxa" w:w="1200"/>
            <w:shd w:fill="1F4E5C" w:val="clear"/>
            <w:tcMar>
              <w:top w:type="dxa" w:w="80"/>
              <w:left w:type="dxa" w:w="100"/>
              <w:bottom w:type="dxa" w:w="80"/>
              <w:right w:type="dxa" w:w="100"/>
            </w:tcMar>
          </w:tcPr>
          <w:p>
            <w:pPr>
              <w:jc w:val="left"/>
            </w:pPr>
            <w:r>
              <w:rPr>
                <w:b/>
                <w:bCs/>
                <w:color w:val="FFFFFF"/>
                <w:sz w:val="19"/>
                <w:szCs w:val="19"/>
              </w:rPr>
              <w:t xml:space="preserve">Riesgo</w:t>
            </w:r>
          </w:p>
        </w:tc>
        <w:tc>
          <w:tcPr>
            <w:tcW w:type="dxa" w:w="6100"/>
            <w:shd w:fill="1F4E5C" w:val="clear"/>
            <w:tcMar>
              <w:top w:type="dxa" w:w="80"/>
              <w:left w:type="dxa" w:w="100"/>
              <w:bottom w:type="dxa" w:w="80"/>
              <w:right w:type="dxa" w:w="100"/>
            </w:tcMar>
          </w:tcPr>
          <w:p>
            <w:pPr>
              <w:jc w:val="left"/>
            </w:pPr>
            <w:r>
              <w:rPr>
                <w:b/>
                <w:bCs/>
                <w:color w:val="FFFFFF"/>
                <w:sz w:val="19"/>
                <w:szCs w:val="19"/>
              </w:rPr>
              <w:t xml:space="preserve">Justificación</w:t>
            </w:r>
          </w:p>
        </w:tc>
      </w:tr>
      <w:tr>
        <w:tc>
          <w:tcPr>
            <w:tcW w:type="dxa" w:w="18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vload / vstore</w:t>
            </w:r>
          </w:p>
        </w:tc>
        <w:tc>
          <w:tcPr>
            <w:tcW w:type="dxa" w:w="1200"/>
            <w:shd w:fill="EAF1F2" w:val="clear"/>
            <w:tcMar>
              <w:top w:type="dxa" w:w="80"/>
              <w:left w:type="dxa" w:w="100"/>
              <w:bottom w:type="dxa" w:w="80"/>
              <w:right w:type="dxa" w:w="100"/>
            </w:tcMar>
          </w:tcPr>
          <w:p>
            <w:pPr>
              <w:jc w:val="left"/>
            </w:pPr>
            <w:r>
              <w:rPr>
                <w:b w:val="false"/>
                <w:bCs w:val="false"/>
                <w:color w:val="1A1A1A"/>
                <w:sz w:val="19"/>
                <w:szCs w:val="19"/>
              </w:rPr>
              <w:t xml:space="preserve">Ninguno</w:t>
            </w:r>
          </w:p>
        </w:tc>
        <w:tc>
          <w:tcPr>
            <w:tcW w:type="dxa" w:w="6100"/>
            <w:shd w:fill="EAF1F2" w:val="clear"/>
            <w:tcMar>
              <w:top w:type="dxa" w:w="80"/>
              <w:left w:type="dxa" w:w="100"/>
              <w:bottom w:type="dxa" w:w="80"/>
              <w:right w:type="dxa" w:w="100"/>
            </w:tcMar>
          </w:tcPr>
          <w:p>
            <w:pPr>
              <w:jc w:val="left"/>
            </w:pPr>
            <w:r>
              <w:rPr>
                <w:b w:val="false"/>
                <w:bCs w:val="false"/>
                <w:color w:val="1A1A1A"/>
                <w:sz w:val="19"/>
                <w:szCs w:val="19"/>
              </w:rPr>
              <w:t xml:space="preserve">Dirección viene de registro escalar (público); acceso siempre uniforme, 128 palabras fijas</w:t>
            </w:r>
          </w:p>
        </w:tc>
      </w:tr>
      <w:tr>
        <w:tc>
          <w:tcPr>
            <w:tcW w:type="dxa" w:w="18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vntt / vintt</w:t>
            </w:r>
          </w:p>
        </w:tc>
        <w:tc>
          <w:tcPr>
            <w:tcW w:type="dxa" w:w="1200"/>
            <w:shd w:fill="FFFFFF" w:val="clear"/>
            <w:tcMar>
              <w:top w:type="dxa" w:w="80"/>
              <w:left w:type="dxa" w:w="100"/>
              <w:bottom w:type="dxa" w:w="80"/>
              <w:right w:type="dxa" w:w="100"/>
            </w:tcMar>
          </w:tcPr>
          <w:p>
            <w:pPr>
              <w:jc w:val="left"/>
            </w:pPr>
            <w:r>
              <w:rPr>
                <w:b w:val="false"/>
                <w:bCs w:val="false"/>
                <w:color w:val="1A1A1A"/>
                <w:sz w:val="19"/>
                <w:szCs w:val="19"/>
              </w:rPr>
              <w:t xml:space="preserve">Bajo*</w:t>
            </w:r>
          </w:p>
        </w:tc>
        <w:tc>
          <w:tcPr>
            <w:tcW w:type="dxa" w:w="6100"/>
            <w:shd w:fill="FFFFFF" w:val="clear"/>
            <w:tcMar>
              <w:top w:type="dxa" w:w="80"/>
              <w:left w:type="dxa" w:w="100"/>
              <w:bottom w:type="dxa" w:w="80"/>
              <w:right w:type="dxa" w:w="100"/>
            </w:tcMar>
          </w:tcPr>
          <w:p>
            <w:pPr>
              <w:jc w:val="left"/>
            </w:pPr>
            <w:r>
              <w:rPr>
                <w:b w:val="false"/>
                <w:bCs w:val="false"/>
                <w:color w:val="1A1A1A"/>
                <w:sz w:val="19"/>
                <w:szCs w:val="19"/>
              </w:rPr>
              <w:t xml:space="preserve">Patrón de la red butterfly fijo por posición en el array, nunca por valor del coeficiente. *Hereda el riesgo de la reducción modular interna</w:t>
            </w:r>
          </w:p>
        </w:tc>
      </w:tr>
      <w:tr>
        <w:tc>
          <w:tcPr>
            <w:tcW w:type="dxa" w:w="18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vpmul</w:t>
            </w:r>
          </w:p>
        </w:tc>
        <w:tc>
          <w:tcPr>
            <w:tcW w:type="dxa" w:w="1200"/>
            <w:shd w:fill="EAF1F2" w:val="clear"/>
            <w:tcMar>
              <w:top w:type="dxa" w:w="80"/>
              <w:left w:type="dxa" w:w="100"/>
              <w:bottom w:type="dxa" w:w="80"/>
              <w:right w:type="dxa" w:w="100"/>
            </w:tcMar>
          </w:tcPr>
          <w:p>
            <w:pPr>
              <w:jc w:val="left"/>
            </w:pPr>
            <w:r>
              <w:rPr>
                <w:b w:val="false"/>
                <w:bCs w:val="false"/>
                <w:color w:val="1A1A1A"/>
                <w:sz w:val="19"/>
                <w:szCs w:val="19"/>
              </w:rPr>
              <w:t xml:space="preserve">Bajo*</w:t>
            </w:r>
          </w:p>
        </w:tc>
        <w:tc>
          <w:tcPr>
            <w:tcW w:type="dxa" w:w="6100"/>
            <w:shd w:fill="EAF1F2" w:val="clear"/>
            <w:tcMar>
              <w:top w:type="dxa" w:w="80"/>
              <w:left w:type="dxa" w:w="100"/>
              <w:bottom w:type="dxa" w:w="80"/>
              <w:right w:type="dxa" w:w="100"/>
            </w:tcMar>
          </w:tcPr>
          <w:p>
            <w:pPr>
              <w:jc w:val="left"/>
            </w:pPr>
            <w:r>
              <w:rPr>
                <w:b w:val="false"/>
                <w:bCs w:val="false"/>
                <w:color w:val="1A1A1A"/>
                <w:sz w:val="19"/>
                <w:szCs w:val="19"/>
              </w:rPr>
              <w:t xml:space="preserve">Bucle de longitud fija (256 iteraciones), sin salida anticipada. *Hereda el riesgo de la reducción modular post-multiplicación</w:t>
            </w:r>
          </w:p>
        </w:tc>
      </w:tr>
      <w:tr>
        <w:tc>
          <w:tcPr>
            <w:tcW w:type="dxa" w:w="18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vbarrett</w:t>
            </w:r>
          </w:p>
        </w:tc>
        <w:tc>
          <w:tcPr>
            <w:tcW w:type="dxa" w:w="1200"/>
            <w:shd w:fill="FFFFFF" w:val="clear"/>
            <w:tcMar>
              <w:top w:type="dxa" w:w="80"/>
              <w:left w:type="dxa" w:w="100"/>
              <w:bottom w:type="dxa" w:w="80"/>
              <w:right w:type="dxa" w:w="100"/>
            </w:tcMar>
          </w:tcPr>
          <w:p>
            <w:pPr>
              <w:jc w:val="left"/>
            </w:pPr>
            <w:r>
              <w:rPr>
                <w:b w:val="false"/>
                <w:bCs w:val="false"/>
                <w:color w:val="1A1A1A"/>
                <w:sz w:val="19"/>
                <w:szCs w:val="19"/>
              </w:rPr>
              <w:t xml:space="preserve">ALTO</w:t>
            </w:r>
          </w:p>
        </w:tc>
        <w:tc>
          <w:tcPr>
            <w:tcW w:type="dxa" w:w="6100"/>
            <w:shd w:fill="FFFFFF" w:val="clear"/>
            <w:tcMar>
              <w:top w:type="dxa" w:w="80"/>
              <w:left w:type="dxa" w:w="100"/>
              <w:bottom w:type="dxa" w:w="80"/>
              <w:right w:type="dxa" w:w="100"/>
            </w:tcMar>
          </w:tcPr>
          <w:p>
            <w:pPr>
              <w:jc w:val="left"/>
            </w:pPr>
            <w:r>
              <w:rPr>
                <w:b w:val="false"/>
                <w:bCs w:val="false"/>
                <w:color w:val="1A1A1A"/>
                <w:sz w:val="19"/>
                <w:szCs w:val="19"/>
              </w:rPr>
              <w:t xml:space="preserve">La resta condicional clásica ("if resultado ≥ q: resultado -= q") es el punto de riesgo real si se implementa como bifurcación de control</w:t>
            </w:r>
          </w:p>
        </w:tc>
      </w:tr>
      <w:tr>
        <w:tc>
          <w:tcPr>
            <w:tcW w:type="dxa" w:w="18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vadd / vsub</w:t>
            </w:r>
          </w:p>
        </w:tc>
        <w:tc>
          <w:tcPr>
            <w:tcW w:type="dxa" w:w="1200"/>
            <w:shd w:fill="EAF1F2" w:val="clear"/>
            <w:tcMar>
              <w:top w:type="dxa" w:w="80"/>
              <w:left w:type="dxa" w:w="100"/>
              <w:bottom w:type="dxa" w:w="80"/>
              <w:right w:type="dxa" w:w="100"/>
            </w:tcMar>
          </w:tcPr>
          <w:p>
            <w:pPr>
              <w:jc w:val="left"/>
            </w:pPr>
            <w:r>
              <w:rPr>
                <w:b w:val="false"/>
                <w:bCs w:val="false"/>
                <w:color w:val="1A1A1A"/>
                <w:sz w:val="19"/>
                <w:szCs w:val="19"/>
              </w:rPr>
              <w:t xml:space="preserve">Medio</w:t>
            </w:r>
          </w:p>
        </w:tc>
        <w:tc>
          <w:tcPr>
            <w:tcW w:type="dxa" w:w="6100"/>
            <w:shd w:fill="EAF1F2" w:val="clear"/>
            <w:tcMar>
              <w:top w:type="dxa" w:w="80"/>
              <w:left w:type="dxa" w:w="100"/>
              <w:bottom w:type="dxa" w:w="80"/>
              <w:right w:type="dxa" w:w="100"/>
            </w:tcMar>
          </w:tcPr>
          <w:p>
            <w:pPr>
              <w:jc w:val="left"/>
            </w:pPr>
            <w:r>
              <w:rPr>
                <w:b w:val="false"/>
                <w:bCs w:val="false"/>
                <w:color w:val="1A1A1A"/>
                <w:sz w:val="19"/>
                <w:szCs w:val="19"/>
              </w:rPr>
              <w:t xml:space="preserve">Igual mecanismo de riesgo que vbarrett: normalización del resultado al rango [0,q) tras sumar/restar</w:t>
            </w:r>
          </w:p>
        </w:tc>
      </w:tr>
    </w:tbl>
    <w:p>
      <w:pPr>
        <w:pStyle w:val="Heading2"/>
        <w:spacing w:after="150" w:before="300"/>
      </w:pPr>
      <w:r>
        <w:t xml:space="preserve">4.2 — Regla de diseño obligatoria para la Fase 4</w:t>
      </w:r>
    </w:p>
    <w:p>
      <w:pPr>
        <w:spacing w:after="120"/>
      </w:pPr>
      <w:r>
        <w:t xml:space="preserve">Todo punto de reducción modular (dentro de vbarrett, y en los pasos internos de vntt/vintt/vpmul/vadd/vsub que dependen de él) debe implementar la corrección condicional como selección aritmética, no como bifurcación de control:</w:t>
      </w:r>
    </w:p>
    <w:p>
      <w:pPr>
        <w:shd w:fill="F4F4F4" w:val="clear"/>
        <w:spacing w:after="120"/>
        <w:ind w:left="200"/>
      </w:pPr>
      <w:r>
        <w:rPr>
          <w:rFonts w:ascii="Consolas" w:cs="Consolas" w:eastAsia="Consolas" w:hAnsi="Consolas"/>
          <w:sz w:val="20"/>
          <w:szCs w:val="20"/>
        </w:rPr>
        <w:t xml:space="preserve">mask     = (resultado &gt;= q) ? 0xFFFF : 0x0000   // calculado sin branch, vía comparador puro</w:t>
      </w:r>
    </w:p>
    <w:p>
      <w:pPr>
        <w:shd w:fill="F4F4F4" w:val="clear"/>
        <w:spacing w:after="120"/>
        <w:ind w:left="200"/>
      </w:pPr>
      <w:r>
        <w:rPr>
          <w:rFonts w:ascii="Consolas" w:cs="Consolas" w:eastAsia="Consolas" w:hAnsi="Consolas"/>
          <w:sz w:val="20"/>
          <w:szCs w:val="20"/>
        </w:rPr>
        <w:t xml:space="preserve">resultado = resultado - (q AND mask)             // resta condicional SIN bifurcación</w:t>
      </w:r>
    </w:p>
    <w:p>
      <w:pPr>
        <w:spacing w:after="120"/>
      </w:pPr>
      <w:r>
        <w:rPr>
          <w:i/>
          <w:iCs/>
          <w:color w:val="6B6B6B"/>
          <w:sz w:val="21"/>
          <w:szCs w:val="21"/>
        </w:rPr>
        <w:t xml:space="preserve">La diferencia clave: el hardware siempre ejecuta la misma cantidad de trabajo (el comparador y la resta enmascarada corren en todos los casos), y solo el resultado final cambia según el dato — no el número de ciclos ni el camino tomado. Esto es una restricción de implementación para el RTL de la Fase 4, no una opción de optimización.</w:t>
      </w:r>
    </w:p>
    <w:p>
      <w:pPr>
        <w:pBdr>
          <w:bottom w:val="single" w:color="1F4E5C" w:sz="6" w:space="4"/>
        </w:pBdr>
        <w:spacing w:after="200"/>
      </w:pPr>
    </w:p>
    <w:p>
      <w:pPr>
        <w:pStyle w:val="Heading1"/>
        <w:spacing w:after="200" w:before="400"/>
      </w:pPr>
      <w:r>
        <w:t xml:space="preserve">5. Reducción modular — Barrett genérico</w:t>
      </w:r>
    </w:p>
    <w:p>
      <w:pPr>
        <w:spacing w:after="120"/>
      </w:pPr>
      <w:r>
        <w:t xml:space="preserve">Barrett reduction reemplaza la división modular (cara en hardware y de timing variable si se implementa ingenuamente) por una multiplicación y un shift, ambas de timing fijo. Es el algoritmo que usa la implementación de referencia oficial de Kyber, verificado formalmente (Cryspen/libcrux) — se prefiere sobre una reducción especializada a la forma binaria de q (2¹²−2⁹−2⁸+1, más rápida pero más difícil de verificar y específica a este primo) porque este es el componente donde más importa la verificabilidad: es la pieza que sostiene el requisito de constant-time en 4 de las 8 instrucciones.</w:t>
      </w:r>
    </w:p>
    <w:p>
      <w:pPr>
        <w:pStyle w:val="Heading2"/>
        <w:spacing w:after="150" w:before="300"/>
      </w:pPr>
      <w:r>
        <w:t xml:space="preserve">5.1 — Parámetros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900"/>
      </w:tblGrid>
      <w:tr>
        <w:tc>
          <w:tcPr>
            <w:tcW w:type="dxa" w:w="2600"/>
            <w:shd w:fill="1F4E5C" w:val="clear"/>
            <w:tcMar>
              <w:top w:type="dxa" w:w="80"/>
              <w:left w:type="dxa" w:w="100"/>
              <w:bottom w:type="dxa" w:w="80"/>
              <w:right w:type="dxa" w:w="100"/>
            </w:tcMar>
          </w:tcPr>
          <w:p>
            <w:pPr>
              <w:jc w:val="left"/>
            </w:pPr>
            <w:r>
              <w:rPr>
                <w:b/>
                <w:bCs/>
                <w:color w:val="FFFFFF"/>
                <w:sz w:val="19"/>
                <w:szCs w:val="19"/>
              </w:rPr>
              <w:t xml:space="preserve">Constante</w:t>
            </w:r>
          </w:p>
        </w:tc>
        <w:tc>
          <w:tcPr>
            <w:tcW w:type="dxa" w:w="2600"/>
            <w:shd w:fill="1F4E5C" w:val="clear"/>
            <w:tcMar>
              <w:top w:type="dxa" w:w="80"/>
              <w:left w:type="dxa" w:w="100"/>
              <w:bottom w:type="dxa" w:w="80"/>
              <w:right w:type="dxa" w:w="100"/>
            </w:tcMar>
          </w:tcPr>
          <w:p>
            <w:pPr>
              <w:jc w:val="left"/>
            </w:pPr>
            <w:r>
              <w:rPr>
                <w:b/>
                <w:bCs/>
                <w:color w:val="FFFFFF"/>
                <w:sz w:val="19"/>
                <w:szCs w:val="19"/>
              </w:rPr>
              <w:t xml:space="preserve">Valor</w:t>
            </w:r>
          </w:p>
        </w:tc>
        <w:tc>
          <w:tcPr>
            <w:tcW w:type="dxa" w:w="3900"/>
            <w:shd w:fill="1F4E5C" w:val="clear"/>
            <w:tcMar>
              <w:top w:type="dxa" w:w="80"/>
              <w:left w:type="dxa" w:w="100"/>
              <w:bottom w:type="dxa" w:w="80"/>
              <w:right w:type="dxa" w:w="100"/>
            </w:tcMar>
          </w:tcPr>
          <w:p>
            <w:pPr>
              <w:jc w:val="left"/>
            </w:pPr>
            <w:r>
              <w:rPr>
                <w:b/>
                <w:bCs/>
                <w:color w:val="FFFFFF"/>
                <w:sz w:val="19"/>
                <w:szCs w:val="19"/>
              </w:rPr>
              <w:t xml:space="preserve">Origen</w:t>
            </w:r>
          </w:p>
        </w:tc>
      </w:tr>
      <w:tr>
        <w:tc>
          <w:tcPr>
            <w:tcW w:type="dxa" w:w="26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q</w:t>
            </w:r>
          </w:p>
        </w:tc>
        <w:tc>
          <w:tcPr>
            <w:tcW w:type="dxa" w:w="2600"/>
            <w:shd w:fill="EAF1F2" w:val="clear"/>
            <w:tcMar>
              <w:top w:type="dxa" w:w="80"/>
              <w:left w:type="dxa" w:w="100"/>
              <w:bottom w:type="dxa" w:w="80"/>
              <w:right w:type="dxa" w:w="100"/>
            </w:tcMar>
          </w:tcPr>
          <w:p>
            <w:pPr>
              <w:jc w:val="left"/>
            </w:pPr>
            <w:r>
              <w:rPr>
                <w:b w:val="false"/>
                <w:bCs w:val="false"/>
                <w:color w:val="1A1A1A"/>
                <w:sz w:val="19"/>
                <w:szCs w:val="19"/>
              </w:rPr>
              <w:t xml:space="preserve">3329</w:t>
            </w:r>
          </w:p>
        </w:tc>
        <w:tc>
          <w:tcPr>
            <w:tcW w:type="dxa" w:w="3900"/>
            <w:shd w:fill="EAF1F2" w:val="clear"/>
            <w:tcMar>
              <w:top w:type="dxa" w:w="80"/>
              <w:left w:type="dxa" w:w="100"/>
              <w:bottom w:type="dxa" w:w="80"/>
              <w:right w:type="dxa" w:w="100"/>
            </w:tcMar>
          </w:tcPr>
          <w:p>
            <w:pPr>
              <w:jc w:val="left"/>
            </w:pPr>
            <w:r>
              <w:rPr>
                <w:b w:val="false"/>
                <w:bCs w:val="false"/>
                <w:color w:val="1A1A1A"/>
                <w:sz w:val="19"/>
                <w:szCs w:val="19"/>
              </w:rPr>
              <w:t xml:space="preserve">Módulo primo de Kyber/ML-KEM</w:t>
            </w:r>
          </w:p>
        </w:tc>
      </w:tr>
      <w:tr>
        <w:tc>
          <w:tcPr>
            <w:tcW w:type="dxa" w:w="26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BARRETT_SHIFT</w:t>
            </w:r>
          </w:p>
        </w:tc>
        <w:tc>
          <w:tcPr>
            <w:tcW w:type="dxa" w:w="2600"/>
            <w:shd w:fill="FFFFFF" w:val="clear"/>
            <w:tcMar>
              <w:top w:type="dxa" w:w="80"/>
              <w:left w:type="dxa" w:w="100"/>
              <w:bottom w:type="dxa" w:w="80"/>
              <w:right w:type="dxa" w:w="100"/>
            </w:tcMar>
          </w:tcPr>
          <w:p>
            <w:pPr>
              <w:jc w:val="left"/>
            </w:pPr>
            <w:r>
              <w:rPr>
                <w:b w:val="false"/>
                <w:bCs w:val="false"/>
                <w:color w:val="1A1A1A"/>
                <w:sz w:val="19"/>
                <w:szCs w:val="19"/>
              </w:rPr>
              <w:t xml:space="preserve">26</w:t>
            </w:r>
          </w:p>
        </w:tc>
        <w:tc>
          <w:tcPr>
            <w:tcW w:type="dxa" w:w="3900"/>
            <w:shd w:fill="FFFFFF" w:val="clear"/>
            <w:tcMar>
              <w:top w:type="dxa" w:w="80"/>
              <w:left w:type="dxa" w:w="100"/>
              <w:bottom w:type="dxa" w:w="80"/>
              <w:right w:type="dxa" w:w="100"/>
            </w:tcMar>
          </w:tcPr>
          <w:p>
            <w:pPr>
              <w:jc w:val="left"/>
            </w:pPr>
            <w:r>
              <w:rPr>
                <w:b w:val="false"/>
                <w:bCs w:val="false"/>
                <w:color w:val="1A1A1A"/>
                <w:sz w:val="19"/>
                <w:szCs w:val="19"/>
              </w:rPr>
              <w:t xml:space="preserve">Estándar, verificado en libcrux</w:t>
            </w:r>
          </w:p>
        </w:tc>
      </w:tr>
      <w:tr>
        <w:tc>
          <w:tcPr>
            <w:tcW w:type="dxa" w:w="2600"/>
            <w:shd w:fill="EAF1F2"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BARRETT_R</w:t>
            </w:r>
          </w:p>
        </w:tc>
        <w:tc>
          <w:tcPr>
            <w:tcW w:type="dxa" w:w="2600"/>
            <w:shd w:fill="EAF1F2" w:val="clear"/>
            <w:tcMar>
              <w:top w:type="dxa" w:w="80"/>
              <w:left w:type="dxa" w:w="100"/>
              <w:bottom w:type="dxa" w:w="80"/>
              <w:right w:type="dxa" w:w="100"/>
            </w:tcMar>
          </w:tcPr>
          <w:p>
            <w:pPr>
              <w:jc w:val="left"/>
            </w:pPr>
            <w:r>
              <w:rPr>
                <w:b w:val="false"/>
                <w:bCs w:val="false"/>
                <w:color w:val="1A1A1A"/>
                <w:sz w:val="19"/>
                <w:szCs w:val="19"/>
              </w:rPr>
              <w:t xml:space="preserve">2^26 = 67108864</w:t>
            </w:r>
          </w:p>
        </w:tc>
        <w:tc>
          <w:tcPr>
            <w:tcW w:type="dxa" w:w="3900"/>
            <w:shd w:fill="EAF1F2" w:val="clear"/>
            <w:tcMar>
              <w:top w:type="dxa" w:w="80"/>
              <w:left w:type="dxa" w:w="100"/>
              <w:bottom w:type="dxa" w:w="80"/>
              <w:right w:type="dxa" w:w="100"/>
            </w:tcMar>
          </w:tcPr>
          <w:p>
            <w:pPr>
              <w:jc w:val="left"/>
            </w:pPr>
            <w:r>
              <w:rPr>
                <w:b w:val="false"/>
                <w:bCs w:val="false"/>
                <w:color w:val="1A1A1A"/>
                <w:sz w:val="19"/>
                <w:szCs w:val="19"/>
              </w:rPr>
              <w:t xml:space="preserve">= 2^BARRETT_SHIFT</w:t>
            </w:r>
          </w:p>
        </w:tc>
      </w:tr>
      <w:tr>
        <w:tc>
          <w:tcPr>
            <w:tcW w:type="dxa" w:w="2600"/>
            <w:shd w:fill="FFFFFF" w:val="clear"/>
            <w:tcMar>
              <w:top w:type="dxa" w:w="80"/>
              <w:left w:type="dxa" w:w="100"/>
              <w:bottom w:type="dxa" w:w="80"/>
              <w:right w:type="dxa" w:w="100"/>
            </w:tcMar>
          </w:tcPr>
          <w:p>
            <w:pPr>
              <w:jc w:val="left"/>
            </w:pPr>
            <w:r>
              <w:rPr>
                <w:rFonts w:ascii="Consolas" w:cs="Consolas" w:eastAsia="Consolas" w:hAnsi="Consolas"/>
                <w:b w:val="false"/>
                <w:bCs w:val="false"/>
                <w:color w:val="1A1A1A"/>
                <w:sz w:val="19"/>
                <w:szCs w:val="19"/>
              </w:rPr>
              <w:t xml:space="preserve">BARRETT_MULTIPLIER</w:t>
            </w:r>
          </w:p>
        </w:tc>
        <w:tc>
          <w:tcPr>
            <w:tcW w:type="dxa" w:w="2600"/>
            <w:shd w:fill="FFFFFF" w:val="clear"/>
            <w:tcMar>
              <w:top w:type="dxa" w:w="80"/>
              <w:left w:type="dxa" w:w="100"/>
              <w:bottom w:type="dxa" w:w="80"/>
              <w:right w:type="dxa" w:w="100"/>
            </w:tcMar>
          </w:tcPr>
          <w:p>
            <w:pPr>
              <w:jc w:val="left"/>
            </w:pPr>
            <w:r>
              <w:rPr>
                <w:b w:val="false"/>
                <w:bCs w:val="false"/>
                <w:color w:val="1A1A1A"/>
                <w:sz w:val="19"/>
                <w:szCs w:val="19"/>
              </w:rPr>
              <w:t xml:space="preserve">20159</w:t>
            </w:r>
          </w:p>
        </w:tc>
        <w:tc>
          <w:tcPr>
            <w:tcW w:type="dxa" w:w="3900"/>
            <w:shd w:fill="FFFFFF" w:val="clear"/>
            <w:tcMar>
              <w:top w:type="dxa" w:w="80"/>
              <w:left w:type="dxa" w:w="100"/>
              <w:bottom w:type="dxa" w:w="80"/>
              <w:right w:type="dxa" w:w="100"/>
            </w:tcMar>
          </w:tcPr>
          <w:p>
            <w:pPr>
              <w:jc w:val="left"/>
            </w:pPr>
            <w:r>
              <w:rPr>
                <w:b w:val="false"/>
                <w:bCs w:val="false"/>
                <w:color w:val="1A1A1A"/>
                <w:sz w:val="19"/>
                <w:szCs w:val="19"/>
              </w:rPr>
              <w:t xml:space="preserve">= ⌈2^26 / q⌋, precalculada, constante de diseño</w:t>
            </w:r>
          </w:p>
        </w:tc>
      </w:tr>
    </w:tbl>
    <w:p>
      <w:pPr>
        <w:pStyle w:val="Heading2"/>
        <w:spacing w:after="150" w:before="300"/>
      </w:pPr>
      <w:r>
        <w:t xml:space="preserve">5.2 — Algoritmo</w:t>
      </w:r>
    </w:p>
    <w:p>
      <w:pPr>
        <w:spacing w:after="120"/>
      </w:pPr>
      <w:r>
        <w:rPr>
          <w:sz w:val="21"/>
          <w:szCs w:val="21"/>
        </w:rPr>
        <w:t xml:space="preserve">Entrada: a (entero con signo, hasta 32 bits — típicamente el resultado de multiplicar dos coeficientes de 16 bits). Salida: a mod q.</w:t>
      </w:r>
    </w:p>
    <w:p>
      <w:pPr>
        <w:shd w:fill="F4F4F4" w:val="clear"/>
        <w:spacing w:after="120"/>
        <w:ind w:left="200"/>
      </w:pPr>
      <w:r>
        <w:rPr>
          <w:rFonts w:ascii="Consolas" w:cs="Consolas" w:eastAsia="Consolas" w:hAnsi="Consolas"/>
          <w:sz w:val="20"/>
          <w:szCs w:val="20"/>
        </w:rPr>
        <w:t xml:space="preserve">t         = a * BARRETT_MULTIPLIER + (BARRETT_R &gt;&gt; 1)</w:t>
      </w:r>
    </w:p>
    <w:p>
      <w:pPr>
        <w:shd w:fill="F4F4F4" w:val="clear"/>
        <w:spacing w:after="120"/>
        <w:ind w:left="200"/>
      </w:pPr>
      <w:r>
        <w:rPr>
          <w:rFonts w:ascii="Consolas" w:cs="Consolas" w:eastAsia="Consolas" w:hAnsi="Consolas"/>
          <w:sz w:val="20"/>
          <w:szCs w:val="20"/>
        </w:rPr>
        <w:t xml:space="preserve">quotient  = t &gt;&gt; BARRETT_SHIFT</w:t>
      </w:r>
    </w:p>
    <w:p>
      <w:pPr>
        <w:shd w:fill="F4F4F4" w:val="clear"/>
        <w:spacing w:after="120"/>
        <w:ind w:left="200"/>
      </w:pPr>
      <w:r>
        <w:rPr>
          <w:rFonts w:ascii="Consolas" w:cs="Consolas" w:eastAsia="Consolas" w:hAnsi="Consolas"/>
          <w:sz w:val="20"/>
          <w:szCs w:val="20"/>
        </w:rPr>
        <w:t xml:space="preserve">remainder = a - quotient * q</w:t>
      </w:r>
    </w:p>
    <w:p>
      <w:pPr>
        <w:spacing w:after="120"/>
      </w:pPr>
      <w:r>
        <w:rPr>
          <w:sz w:val="21"/>
          <w:szCs w:val="21"/>
        </w:rPr>
        <w:t xml:space="preserve">Constant-time por construcción: no hay división real en ningún punto, solo multiplicación, shift y resta — las tres de timing fijo en hardware. Cumple directamente la regla de diseño de la sección 4.2 sin necesitar un mux/máscara adicional.</w:t>
      </w:r>
    </w:p>
    <w:p>
      <w:pPr>
        <w:pStyle w:val="Heading2"/>
        <w:spacing w:after="150" w:before="300"/>
      </w:pPr>
      <w:r>
        <w:t xml:space="preserve">5.3 — Trabajo futuro (documentado, no implementado en este proyecto)</w:t>
      </w:r>
    </w:p>
    <w:p>
      <w:pPr>
        <w:spacing w:after="120"/>
      </w:pPr>
      <w:r>
        <w:rPr>
          <w:i/>
          <w:iCs/>
          <w:color w:val="6B6B6B"/>
          <w:sz w:val="21"/>
          <w:szCs w:val="21"/>
        </w:rPr>
        <w:t xml:space="preserve">Una reducción especializada aprovechando que q = 2¹²−2⁹−2⁸+1 (solo 4 bits en 1 en su representación binaria) permitiría un diseño más compacto en área, evitando uno de los dos multiplicadores de Barrett genérico. Se descartó para este proyecto por dos razones: (1) no se generaliza a otros primos — cerraría la puerta a una eventual extensión a Dilithium (q=8380417, ver Apéndice A del cronograma) sin rediseñar la unidad; (2) el riesgo de verificación es más alto justo en el componente que sostiene el requisito de seguridad constant-time, donde la prioridad es la corrección verificable sobre la velocidad. Queda como posible optimización futura si el cronograma lo permite tras cerrar la Fase 4.</w:t>
      </w:r>
    </w:p>
    <w:p>
      <w:pPr>
        <w:pBdr>
          <w:bottom w:val="single" w:color="1F4E5C" w:sz="6" w:space="4"/>
        </w:pBdr>
        <w:spacing w:after="200"/>
      </w:pPr>
    </w:p>
    <w:p>
      <w:pPr>
        <w:pStyle w:val="Heading1"/>
        <w:spacing w:after="200" w:before="400"/>
      </w:pPr>
      <w:r>
        <w:t xml:space="preserve">6. Operación butterfly — vntt / vintt</w:t>
      </w:r>
    </w:p>
    <w:p>
      <w:pPr>
        <w:spacing w:after="120"/>
      </w:pPr>
      <w:r>
        <w:t xml:space="preserve">El NTT de Kyber es incompleto: usa una raíz 256ª de la unidad (no existe una 512ª), así que trata los 256 coeficientes como 128 pares y aplica 7 niveles de mariposas (no 8) — el último nivel se omite. El resultado queda en 128 posiciones de dominio NTT, cada una con un par de coeficientes que se combinan como multiplicación de polinomios de grado 1 en vpmul (no punto a punto simple).</w:t>
      </w:r>
    </w:p>
    <w:p>
      <w:pPr>
        <w:pStyle w:val="Heading2"/>
        <w:spacing w:after="150" w:before="300"/>
      </w:pPr>
      <w:r>
        <w:t xml:space="preserve">6.1 — Orden de coeficientes: Cooley-Tukey + Gentleman-Sande emparejados</w:t>
      </w:r>
    </w:p>
    <w:p>
      <w:pPr>
        <w:spacing w:after="120"/>
      </w:pPr>
      <w:r>
        <w:t xml:space="preserve">El algoritmo NTT clásico (Cooley-Tukey) produce salida en orden bit-reversed a partir de entrada en orden natural; su inverso exacto necesitaría revertir ese orden explícitamente. En vez de agregar una permutación de bit-reversal como paso separado (costo adicional de hardware/ciclos), se emparejan los dos algoritmos complementarios:</w:t>
      </w:r>
    </w:p>
    <w:p>
      <w:pPr>
        <w:pStyle w:val="ListParagraph"/>
        <w:numPr>
          <w:ilvl w:val="0"/>
          <w:numId w:val="1"/>
        </w:numPr>
        <w:spacing w:after="60"/>
      </w:pPr>
      <w:r>
        <w:t xml:space="preserve">vntt usa Cooley-Tukey (CT): entrada en orden natural → salida en orden bit-reversed</w:t>
      </w:r>
    </w:p>
    <w:p>
      <w:pPr>
        <w:pStyle w:val="ListParagraph"/>
        <w:numPr>
          <w:ilvl w:val="0"/>
          <w:numId w:val="1"/>
        </w:numPr>
        <w:spacing w:after="60"/>
      </w:pPr>
      <w:r>
        <w:t xml:space="preserve">vintt usa Gentleman-Sande (GS): entrada en orden bit-reversed → salida en orden natural</w:t>
      </w:r>
    </w:p>
    <w:p>
      <w:pPr>
        <w:spacing w:after="120"/>
      </w:pPr>
      <w:r>
        <w:t xml:space="preserve">Como el flujo típico de Kyber es siempre NTT → operar en dominio NTT (vpmul/vadd/vsub) → INTT, el orden bit-reversed queda confinado dentro del dominio NTT y nunca se observa desde fuera: el polinomio entra en orden natural a vntt y sale en orden natural de vintt, sin necesitar ninguna permutación explícita en ningún punto del hardware o del firmware. Esta es una técnica estándar de la literatura de FFT/NTT (DIT/DIF pairing), no una construcción ad-hoc de este proyecto.</w:t>
      </w:r>
    </w:p>
    <w:p>
      <w:pPr>
        <w:pStyle w:val="Heading2"/>
        <w:spacing w:after="150" w:before="300"/>
      </w:pPr>
      <w:r>
        <w:t xml:space="preserve">6.2 — Cooley-Tukey butterfly (vntt)</w:t>
      </w:r>
    </w:p>
    <w:p>
      <w:pPr>
        <w:spacing w:after="120"/>
      </w:pPr>
      <w:r>
        <w:rPr>
          <w:sz w:val="21"/>
          <w:szCs w:val="21"/>
        </w:rPr>
        <w:t xml:space="preserve">Para cada par (a, b) de coeficientes, con twiddle factor ζ (público, precalculado):</w:t>
      </w:r>
    </w:p>
    <w:p>
      <w:pPr>
        <w:shd w:fill="F4F4F4" w:val="clear"/>
        <w:spacing w:after="120"/>
        <w:ind w:left="200"/>
      </w:pPr>
      <w:r>
        <w:rPr>
          <w:rFonts w:ascii="Consolas" w:cs="Consolas" w:eastAsia="Consolas" w:hAnsi="Consolas"/>
          <w:sz w:val="20"/>
          <w:szCs w:val="20"/>
        </w:rPr>
        <w:t xml:space="preserve">a' = a + ζ·b  (mod q)</w:t>
      </w:r>
    </w:p>
    <w:p>
      <w:pPr>
        <w:shd w:fill="F4F4F4" w:val="clear"/>
        <w:spacing w:after="120"/>
        <w:ind w:left="200"/>
      </w:pPr>
      <w:r>
        <w:rPr>
          <w:rFonts w:ascii="Consolas" w:cs="Consolas" w:eastAsia="Consolas" w:hAnsi="Consolas"/>
          <w:sz w:val="20"/>
          <w:szCs w:val="20"/>
        </w:rPr>
        <w:t xml:space="preserve">b' = a - ζ·b  (mod q)</w:t>
      </w:r>
    </w:p>
    <w:p>
      <w:pPr>
        <w:pStyle w:val="Heading2"/>
        <w:spacing w:after="150" w:before="300"/>
      </w:pPr>
      <w:r>
        <w:t xml:space="preserve">6.3 — Gentleman-Sande butterfly (vintt)</w:t>
      </w:r>
    </w:p>
    <w:p>
      <w:pPr>
        <w:spacing w:after="120"/>
      </w:pPr>
      <w:r>
        <w:rPr>
          <w:sz w:val="21"/>
          <w:szCs w:val="21"/>
        </w:rPr>
        <w:t xml:space="preserve">Para cada par (a, b), con twiddle factor inverso ζ⁻¹:</w:t>
      </w:r>
    </w:p>
    <w:p>
      <w:pPr>
        <w:shd w:fill="F4F4F4" w:val="clear"/>
        <w:spacing w:after="120"/>
        <w:ind w:left="200"/>
      </w:pPr>
      <w:r>
        <w:rPr>
          <w:rFonts w:ascii="Consolas" w:cs="Consolas" w:eastAsia="Consolas" w:hAnsi="Consolas"/>
          <w:sz w:val="20"/>
          <w:szCs w:val="20"/>
        </w:rPr>
        <w:t xml:space="preserve">a' = (a + b)        (mod q)</w:t>
      </w:r>
    </w:p>
    <w:p>
      <w:pPr>
        <w:shd w:fill="F4F4F4" w:val="clear"/>
        <w:spacing w:after="120"/>
        <w:ind w:left="200"/>
      </w:pPr>
      <w:r>
        <w:rPr>
          <w:rFonts w:ascii="Consolas" w:cs="Consolas" w:eastAsia="Consolas" w:hAnsi="Consolas"/>
          <w:sz w:val="20"/>
          <w:szCs w:val="20"/>
        </w:rPr>
        <w:t xml:space="preserve">b' = ζ⁻¹·(a - b)    (mod q)</w:t>
      </w:r>
    </w:p>
    <w:p>
      <w:pPr>
        <w:pStyle w:val="Heading2"/>
        <w:spacing w:after="150" w:before="300"/>
      </w:pPr>
      <w:r>
        <w:t xml:space="preserve">6.4 — Twiddle factors</w:t>
      </w:r>
    </w:p>
    <w:p>
      <w:pPr>
        <w:spacing w:after="120"/>
      </w:pPr>
      <w:r>
        <w:t xml:space="preserve">Los valores de ζ son potencias del root of unity primitivo de Kyber (ζ=17), públicos y fijos por el estándar — no dependen de ningún dato secreto, así que se almacenan como tabla constante (ROM) en el hardware, sin ningún riesgo de constant-time asociado a su acceso (la posición en la tabla depende del nivel/índice de la mariposa, que son ambos públicos — nunca del valor de un coeficiente).</w:t>
      </w:r>
    </w:p>
    <w:p>
      <w:pPr>
        <w:pStyle w:val="Heading2"/>
        <w:spacing w:after="150" w:before="300"/>
      </w:pPr>
      <w:r>
        <w:t xml:space="preserve">6.5 — Estructura: 7 niveles × 128 mariposas</w:t>
      </w:r>
    </w:p>
    <w:p>
      <w:pPr>
        <w:spacing w:after="120"/>
      </w:pPr>
      <w:r>
        <w:t xml:space="preserve">Cada nivel opera sobre los 256 coeficientes en 128 pares; el patrón de qué coeficientes se emparejan en cada nivel está fijado por el algoritmo (depende únicamente de la posición en el array), nunca por el valor de los datos — consistente con el análisis constant-time de la sección 4. Los 7 niveles siempre se ejecutan completos, sin salida anticipada.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F4E5C"/>
      <w:sz w:val="30"/>
      <w:szCs w:val="30"/>
    </w:rPr>
  </w:style>
  <w:style w:type="paragraph" w:styleId="Heading2">
    <w:name w:val="Heading 2"/>
    <w:basedOn w:val="Normal"/>
    <w:next w:val="Normal"/>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2026-08-14T22:38:32.584Z</dcterms:created>
  <dcterms:modified xsi:type="dcterms:W3CDTF">2026-08-14T22:38:32.598Z</dcterms:modified>
</cp:coreProperties>
</file>

<file path=docProps/custom.xml><?xml version="1.0" encoding="utf-8"?>
<Properties xmlns="http://schemas.openxmlformats.org/officeDocument/2006/custom-properties" xmlns:vt="http://schemas.openxmlformats.org/officeDocument/2006/docPropsVTypes"/>
</file>