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08080"/>
          <w:sz w:val="17"/>
          <w:szCs w:val="17"/>
        </w:rPr>
        <w:t xml:space="preserve">CONFIDENCIAL - USO PROPIO</w:t>
      </w:r>
    </w:p>
    <w:p>
      <w:pPr>
        <w:spacing w:after="40"/>
      </w:pPr>
      <w:r>
        <w:rPr>
          <w:rFonts w:ascii="Calibri" w:cs="Calibri" w:eastAsia="Calibri" w:hAnsi="Calibri"/>
          <w:b/>
          <w:bCs/>
          <w:color w:val="1F3864"/>
          <w:sz w:val="34"/>
          <w:szCs w:val="34"/>
        </w:rPr>
        <w:t xml:space="preserve">Reunión del viernes con el distribuidor de la costa del río Uruguay</w:t>
      </w:r>
    </w:p>
    <w:p>
      <w:pPr>
        <w:spacing w:after="200"/>
      </w:pPr>
      <w:r>
        <w:rPr>
          <w:rFonts w:ascii="Calibri" w:cs="Calibri" w:eastAsia="Calibri" w:hAnsi="Calibri"/>
          <w:color w:val="595959"/>
          <w:sz w:val="23"/>
          <w:szCs w:val="23"/>
        </w:rPr>
        <w:t xml:space="preserve">Análisis de la propuesta, números, escenarios y guion de negociación</w:t>
      </w:r>
    </w:p>
    <w:p>
      <w:pPr>
        <w:pBdr>
          <w:bottom w:val="single" w:color="1F3864" w:sz="12"/>
        </w:pBdr>
        <w:spacing w:after="240"/>
      </w:pPr>
      <w:r>
        <w:rPr>
          <w:rFonts w:ascii="Calibri" w:cs="Calibri" w:eastAsia="Calibri" w:hAnsi="Calibri"/>
          <w:color w:val="595959"/>
          <w:sz w:val="19"/>
          <w:szCs w:val="19"/>
        </w:rPr>
        <w:t xml:space="preserve">Concepción del Uruguay · agosto 2026 · Medicamentos de venta libre</w:t>
      </w:r>
    </w:p>
    <w:p>
      <w:pPr>
        <w:pStyle w:val="Heading1"/>
        <w:spacing w:after="160" w:before="320"/>
      </w:pPr>
      <w:r>
        <w:rPr>
          <w:rFonts w:ascii="Calibri" w:cs="Calibri" w:eastAsia="Calibri" w:hAnsi="Calibri"/>
          <w:b/>
          <w:bCs/>
          <w:color w:val="1F3864"/>
          <w:sz w:val="28"/>
          <w:szCs w:val="28"/>
        </w:rPr>
        <w:t xml:space="preserve">1. Resumen ejecutivo</w:t>
      </w:r>
    </w:p>
    <w:p>
      <w:pPr>
        <w:spacing w:after="120" w:line="276"/>
      </w:pPr>
      <w:r>
        <w:rPr>
          <w:rFonts w:ascii="Calibri" w:cs="Calibri" w:eastAsia="Calibri" w:hAnsi="Calibri"/>
          <w:sz w:val="21"/>
          <w:szCs w:val="21"/>
        </w:rPr>
        <w:t xml:space="preserve">Con la estructura de precios real -pasar de marcar 12% a marcar 10%- la operación no es ruinosa. Es algo más incómodo que eso: es casi neutra en plata y claramente peor en productividad. Y el riesgo grande no está en las cinco bocas, está afuera de ellas.</w:t>
      </w:r>
    </w:p>
    <w:p>
      <w:pPr>
        <w:pStyle w:val="ListParagraph"/>
        <w:numPr>
          <w:ilvl w:val="0"/>
          <w:numId w:val="2"/>
        </w:numPr>
        <w:spacing w:after="90" w:line="276"/>
      </w:pPr>
      <w:r>
        <w:rPr>
          <w:rFonts w:ascii="Calibri" w:cs="Calibri" w:eastAsia="Calibri" w:hAnsi="Calibri"/>
          <w:b/>
          <w:bCs/>
          <w:i w:val="false"/>
          <w:iCs w:val="false"/>
          <w:sz w:val="21"/>
          <w:szCs w:val="21"/>
        </w:rPr>
        <w:t xml:space="preserve">En plata, empatás. </w:t>
      </w:r>
      <w:r>
        <w:rPr>
          <w:rFonts w:ascii="Calibri" w:cs="Calibri" w:eastAsia="Calibri" w:hAnsi="Calibri"/>
          <w:b w:val="false"/>
          <w:bCs w:val="false"/>
          <w:i w:val="false"/>
          <w:iCs w:val="false"/>
          <w:sz w:val="21"/>
          <w:szCs w:val="21"/>
        </w:rPr>
        <w:t xml:space="preserve">Hoy ganás unos $125.900 por mes con las bocas que atendés directo. Con la propuesta pasás a $101.100 con las cinco. Perdés unos $24.800 por mes, casi $300.000 al año. Es una diferencia chica: dentro del margen de error de mis supuestos, esto puede dar levemente positivo o levemente negativo.</w:t>
      </w:r>
    </w:p>
    <w:p>
      <w:pPr>
        <w:pStyle w:val="ListParagraph"/>
        <w:numPr>
          <w:ilvl w:val="0"/>
          <w:numId w:val="2"/>
        </w:numPr>
        <w:spacing w:after="90" w:line="276"/>
      </w:pPr>
      <w:r>
        <w:rPr>
          <w:rFonts w:ascii="Calibri" w:cs="Calibri" w:eastAsia="Calibri" w:hAnsi="Calibri"/>
          <w:b/>
          <w:bCs/>
          <w:i w:val="false"/>
          <w:iCs w:val="false"/>
          <w:sz w:val="21"/>
          <w:szCs w:val="21"/>
        </w:rPr>
        <w:t xml:space="preserve">En horas, perdés claro. </w:t>
      </w:r>
      <w:r>
        <w:rPr>
          <w:rFonts w:ascii="Calibri" w:cs="Calibri" w:eastAsia="Calibri" w:hAnsi="Calibri"/>
          <w:b w:val="false"/>
          <w:bCs w:val="false"/>
          <w:i w:val="false"/>
          <w:iCs w:val="false"/>
          <w:sz w:val="21"/>
          <w:szCs w:val="21"/>
        </w:rPr>
        <w:t xml:space="preserve">Pasás de 12 a 30 horas mensuales dedicadas a estas bocas. Tu resultado por hora cae de $10.489 a $3.370. Triplicás el trabajo para ganar lo mismo. Ese es el verdadero costo de la propuesta tal como está.</w:t>
      </w:r>
    </w:p>
    <w:p>
      <w:pPr>
        <w:pStyle w:val="ListParagraph"/>
        <w:numPr>
          <w:ilvl w:val="0"/>
          <w:numId w:val="2"/>
        </w:numPr>
        <w:spacing w:after="90" w:line="276"/>
      </w:pPr>
      <w:r>
        <w:rPr>
          <w:rFonts w:ascii="Calibri" w:cs="Calibri" w:eastAsia="Calibri" w:hAnsi="Calibri"/>
          <w:b/>
          <w:bCs/>
          <w:i w:val="false"/>
          <w:iCs w:val="false"/>
          <w:sz w:val="21"/>
          <w:szCs w:val="21"/>
        </w:rPr>
        <w:t xml:space="preserve">Te faltan seis décimas de punto. </w:t>
      </w:r>
      <w:r>
        <w:rPr>
          <w:rFonts w:ascii="Calibri" w:cs="Calibri" w:eastAsia="Calibri" w:hAnsi="Calibri"/>
          <w:b w:val="false"/>
          <w:bCs w:val="false"/>
          <w:i w:val="false"/>
          <w:iCs w:val="false"/>
          <w:sz w:val="21"/>
          <w:szCs w:val="21"/>
        </w:rPr>
        <w:t xml:space="preserve">El markup mínimo que te deja igual que hoy es 10,58%. Él ofrece 10%. La brecha es de 0,58 puntos, no de un abismo. Es un pedido chico, concreto y perfectamente defendible en la mesa.</w:t>
      </w:r>
    </w:p>
    <w:p>
      <w:pPr>
        <w:pStyle w:val="ListParagraph"/>
        <w:numPr>
          <w:ilvl w:val="0"/>
          <w:numId w:val="2"/>
        </w:numPr>
        <w:spacing w:after="90" w:line="276"/>
      </w:pPr>
      <w:r>
        <w:rPr>
          <w:rFonts w:ascii="Calibri" w:cs="Calibri" w:eastAsia="Calibri" w:hAnsi="Calibri"/>
          <w:b/>
          <w:bCs/>
          <w:i w:val="false"/>
          <w:iCs w:val="false"/>
          <w:sz w:val="21"/>
          <w:szCs w:val="21"/>
        </w:rPr>
        <w:t xml:space="preserve">A tu precio mayorista pleno, el negocio sí conviene. </w:t>
      </w:r>
      <w:r>
        <w:rPr>
          <w:rFonts w:ascii="Calibri" w:cs="Calibri" w:eastAsia="Calibri" w:hAnsi="Calibri"/>
          <w:b w:val="false"/>
          <w:bCs w:val="false"/>
          <w:i w:val="false"/>
          <w:iCs w:val="false"/>
          <w:sz w:val="21"/>
          <w:szCs w:val="21"/>
        </w:rPr>
        <w:t xml:space="preserve">Con 12% -sin los dos puntos- la operación te deja $186.500 por mes: unos $60.700 más de lo que ganás hoy. O sea que el problema no es el negocio: son los dos puntos.</w:t>
      </w:r>
    </w:p>
    <w:p>
      <w:pPr>
        <w:pStyle w:val="ListParagraph"/>
        <w:numPr>
          <w:ilvl w:val="0"/>
          <w:numId w:val="2"/>
        </w:numPr>
        <w:spacing w:after="90" w:line="276"/>
      </w:pPr>
      <w:r>
        <w:rPr>
          <w:rFonts w:ascii="Calibri" w:cs="Calibri" w:eastAsia="Calibri" w:hAnsi="Calibri"/>
          <w:b/>
          <w:bCs/>
          <w:i w:val="false"/>
          <w:iCs w:val="false"/>
          <w:sz w:val="21"/>
          <w:szCs w:val="21"/>
        </w:rPr>
        <w:t xml:space="preserve">El contagio es siete veces más caro que la operación entera. </w:t>
      </w:r>
      <w:r>
        <w:rPr>
          <w:rFonts w:ascii="Calibri" w:cs="Calibri" w:eastAsia="Calibri" w:hAnsi="Calibri"/>
          <w:b w:val="false"/>
          <w:bCs w:val="false"/>
          <w:i w:val="false"/>
          <w:iCs w:val="false"/>
          <w:sz w:val="21"/>
          <w:szCs w:val="21"/>
        </w:rPr>
        <w:t xml:space="preserve">Si el resto de tus mayoristas reclama paridad, te alineás a 10% en el 60% de ese book y perdés unos $160.700 por mes, casi $1.930.000 al año. Contra eso, discutir si las cinco bocas dejan $25.000 arriba o abajo es discutir la propina.</w:t>
      </w:r>
    </w:p>
    <w:p>
      <w:pPr>
        <w:shd w:fill="FFF2CC" w:color="auto" w:val="clear"/>
        <w:spacing w:after="120" w:line="276"/>
      </w:pPr>
      <w:r>
        <w:rPr>
          <w:rFonts w:ascii="Calibri" w:cs="Calibri" w:eastAsia="Calibri" w:hAnsi="Calibri"/>
          <w:b/>
          <w:bCs/>
          <w:i w:val="false"/>
          <w:iCs w:val="false"/>
          <w:sz w:val="21"/>
          <w:szCs w:val="21"/>
        </w:rPr>
        <w:t xml:space="preserve">Conclusión operativa: </w:t>
      </w:r>
      <w:r>
        <w:rPr>
          <w:rFonts w:ascii="Calibri" w:cs="Calibri" w:eastAsia="Calibri" w:hAnsi="Calibri"/>
          <w:b w:val="false"/>
          <w:bCs w:val="false"/>
          <w:i w:val="false"/>
          <w:iCs w:val="false"/>
          <w:sz w:val="21"/>
          <w:szCs w:val="21"/>
        </w:rPr>
        <w:t xml:space="preserve">el negocio te sirve, la estructura no. Pedí tu precio mayorista pleno -12%, el mismo que a cualquiera- y facturá la reposición aparte. Con esa estructura llevás la operación a unos $499.000 por mes y, sobre todo, no movés tu lista de precios, que es donde está el verdadero dinero en juego.</w:t>
      </w:r>
    </w:p>
    <w:p>
      <w:pPr>
        <w:spacing w:after="120" w:line="276"/>
      </w:pPr>
      <w:r>
        <w:rPr>
          <w:rFonts w:ascii="Calibri" w:cs="Calibri" w:eastAsia="Calibri" w:hAnsi="Calibri"/>
          <w:b/>
          <w:bCs/>
          <w:sz w:val="21"/>
          <w:szCs w:val="21"/>
        </w:rPr>
        <w:t xml:space="preserve">Y una regla para el viernes: no se cierra nada el viernes.</w:t>
      </w:r>
    </w:p>
    <w:p>
      <w:pPr>
        <w:pStyle w:val="Heading1"/>
        <w:spacing w:after="160" w:before="320"/>
      </w:pPr>
      <w:r>
        <w:rPr>
          <w:rFonts w:ascii="Calibri" w:cs="Calibri" w:eastAsia="Calibri" w:hAnsi="Calibri"/>
          <w:b/>
          <w:bCs/>
          <w:color w:val="1F3864"/>
          <w:sz w:val="28"/>
          <w:szCs w:val="28"/>
        </w:rPr>
        <w:t xml:space="preserve">2. Qué te está proponiendo, en realidad</w:t>
      </w:r>
    </w:p>
    <w:p>
      <w:pPr>
        <w:spacing w:after="120" w:line="276"/>
      </w:pPr>
      <w:r>
        <w:rPr>
          <w:rFonts w:ascii="Calibri" w:cs="Calibri" w:eastAsia="Calibri" w:hAnsi="Calibri"/>
          <w:sz w:val="21"/>
          <w:szCs w:val="21"/>
        </w:rPr>
        <w:t xml:space="preserve">Conviene despegarse del envoltorio comercial y mirar la estructura. La propuesta tiene tres movimientos simultáneos, y solo el primero se discute en voz alta.</w:t>
      </w:r>
    </w:p>
    <w:p>
      <w:pPr>
        <w:pStyle w:val="Heading2"/>
        <w:spacing w:after="110" w:before="220"/>
      </w:pPr>
      <w:r>
        <w:rPr>
          <w:rFonts w:ascii="Calibri" w:cs="Calibri" w:eastAsia="Calibri" w:hAnsi="Calibri"/>
          <w:b/>
          <w:bCs/>
          <w:color w:val="1F3864"/>
          <w:sz w:val="23"/>
          <w:szCs w:val="23"/>
        </w:rPr>
        <w:t xml:space="preserve">Movimiento 1: un cambio de precio</w:t>
      </w:r>
    </w:p>
    <w:p>
      <w:pPr>
        <w:spacing w:after="120" w:line="276"/>
      </w:pPr>
      <w:r>
        <w:rPr>
          <w:rFonts w:ascii="Calibri" w:cs="Calibri" w:eastAsia="Calibri" w:hAnsi="Calibri"/>
          <w:sz w:val="21"/>
          <w:szCs w:val="21"/>
        </w:rPr>
        <w:t xml:space="preserve">Te pide dos puntos por debajo del markup de tu mejor precio mayorista: pasás de marcar 12% a marcar 10%. Este es el único movimiento que él va a poner sobre la mesa, y probablemente el único que vos esperabas negociar.</w:t>
      </w:r>
    </w:p>
    <w:p>
      <w:pPr>
        <w:pStyle w:val="Heading2"/>
        <w:spacing w:after="110" w:before="220"/>
      </w:pPr>
      <w:r>
        <w:rPr>
          <w:rFonts w:ascii="Calibri" w:cs="Calibri" w:eastAsia="Calibri" w:hAnsi="Calibri"/>
          <w:b/>
          <w:bCs/>
          <w:color w:val="1F3864"/>
          <w:sz w:val="23"/>
          <w:szCs w:val="23"/>
        </w:rPr>
        <w:t xml:space="preserve">Movimiento 2: una transferencia de función sin transferencia de costo</w:t>
      </w:r>
    </w:p>
    <w:p>
      <w:pPr>
        <w:spacing w:after="120" w:line="276"/>
      </w:pPr>
      <w:r>
        <w:rPr>
          <w:rFonts w:ascii="Calibri" w:cs="Calibri" w:eastAsia="Calibri" w:hAnsi="Calibri"/>
          <w:sz w:val="21"/>
          <w:szCs w:val="21"/>
        </w:rPr>
        <w:t xml:space="preserve">En una operación mayorista normal, el que compra al precio más bajo es el que asume la logística, el stock, la fuerza de ventas y la cobranza del punto de venta. Acá no: eso lo seguís haciendo vos. Él se queda con la función de facturar y con el diferencial de precio, sin costo de servir. Es decir, pide precio de mayorista prestando el servicio de un cliente final.</w:t>
      </w:r>
    </w:p>
    <w:p>
      <w:pPr>
        <w:pStyle w:val="Heading2"/>
        <w:spacing w:after="110" w:before="220"/>
      </w:pPr>
      <w:r>
        <w:rPr>
          <w:rFonts w:ascii="Calibri" w:cs="Calibri" w:eastAsia="Calibri" w:hAnsi="Calibri"/>
          <w:b/>
          <w:bCs/>
          <w:color w:val="1F3864"/>
          <w:sz w:val="23"/>
          <w:szCs w:val="23"/>
        </w:rPr>
        <w:t xml:space="preserve">Movimiento 3: una transferencia de posición</w:t>
      </w:r>
    </w:p>
    <w:p>
      <w:pPr>
        <w:spacing w:after="120" w:line="276"/>
      </w:pPr>
      <w:r>
        <w:rPr>
          <w:rFonts w:ascii="Calibri" w:cs="Calibri" w:eastAsia="Calibri" w:hAnsi="Calibri"/>
          <w:sz w:val="21"/>
          <w:szCs w:val="21"/>
        </w:rPr>
        <w:t xml:space="preserve">Hoy tenés relación directa con algunas de esas bocas. Mañana el titular de esa relación es él. Vos pasás a ser un proveedor invisible que aparece con las cajas. Cuando llegue la próxima negociación de precio, ya no vas a tener con quién hablar del otro lado del mostrador.</w:t>
      </w:r>
    </w:p>
    <w:p>
      <w:pPr>
        <w:spacing w:after="120" w:line="276"/>
      </w:pPr>
      <w:r>
        <w:rPr>
          <w:rFonts w:ascii="Calibri" w:cs="Calibri" w:eastAsia="Calibri" w:hAnsi="Calibri"/>
          <w:b/>
          <w:bCs/>
          <w:i w:val="false"/>
          <w:iCs w:val="false"/>
          <w:sz w:val="21"/>
          <w:szCs w:val="21"/>
        </w:rPr>
        <w:t xml:space="preserve">El punto: </w:t>
      </w:r>
      <w:r>
        <w:rPr>
          <w:rFonts w:ascii="Calibri" w:cs="Calibri" w:eastAsia="Calibri" w:hAnsi="Calibri"/>
          <w:b w:val="false"/>
          <w:bCs w:val="false"/>
          <w:i w:val="false"/>
          <w:iCs w:val="false"/>
          <w:sz w:val="21"/>
          <w:szCs w:val="21"/>
        </w:rPr>
        <w:t xml:space="preserve">los tres movimientos se pagan con el mismo 2%. Si solo negociás el primero, estás regalando los otros dos.</w:t>
      </w:r>
    </w:p>
    <w:p>
      <w:pPr>
        <w:pStyle w:val="Heading1"/>
        <w:spacing w:after="160" w:before="320"/>
      </w:pPr>
      <w:r>
        <w:rPr>
          <w:rFonts w:ascii="Calibri" w:cs="Calibri" w:eastAsia="Calibri" w:hAnsi="Calibri"/>
          <w:b/>
          <w:bCs/>
          <w:color w:val="1F3864"/>
          <w:sz w:val="28"/>
          <w:szCs w:val="28"/>
        </w:rPr>
        <w:t xml:space="preserve">3. Los números</w:t>
      </w:r>
    </w:p>
    <w:p>
      <w:pPr>
        <w:spacing w:after="120" w:line="276"/>
      </w:pPr>
      <w:r>
        <w:rPr>
          <w:rFonts w:ascii="Calibri" w:cs="Calibri" w:eastAsia="Calibri" w:hAnsi="Calibri"/>
          <w:sz w:val="21"/>
          <w:szCs w:val="21"/>
        </w:rPr>
        <w:t xml:space="preserve">Todo lo que sigue está calculado en el archivo Modelo_Negociacion_Distribuidor.xlsx, con markup sobre costo, que es como marcás vos: 15% directo a supermercado, 12% a tu mejor precio mayorista de hoy, 10% lo que te dejaría este distribuidor. Las celdas amarillas son editables.</w:t>
      </w:r>
    </w:p>
    <w:p>
      <w:pPr>
        <w:pStyle w:val="Heading2"/>
        <w:spacing w:after="110" w:before="220"/>
      </w:pPr>
      <w:r>
        <w:rPr>
          <w:rFonts w:ascii="Calibri" w:cs="Calibri" w:eastAsia="Calibri" w:hAnsi="Calibri"/>
          <w:b/>
          <w:bCs/>
          <w:color w:val="1F3864"/>
          <w:sz w:val="23"/>
          <w:szCs w:val="23"/>
        </w:rPr>
        <w:t xml:space="preserve">3.1 Resultado mensual: hoy vs. propuesta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2100"/>
        <w:gridCol w:w="1850"/>
      </w:tblGrid>
      <w:tr>
        <w:trPr>
          <w:tblHeader/>
        </w:trPr>
        <w:tc>
          <w:tcPr>
            <w:tcW w:type="dxa" w:w="33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Concepto (por mes)</w:t>
            </w:r>
          </w:p>
        </w:tc>
        <w:tc>
          <w:tcPr>
            <w:tcW w:type="dxa" w:w="175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Hoy</w:t>
            </w:r>
          </w:p>
        </w:tc>
        <w:tc>
          <w:tcPr>
            <w:tcW w:type="dxa" w:w="21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Propuesta</w:t>
            </w:r>
          </w:p>
        </w:tc>
        <w:tc>
          <w:tcPr>
            <w:tcW w:type="dxa" w:w="185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Diferencia</w:t>
            </w:r>
          </w:p>
        </w:tc>
      </w:tr>
      <w:tr>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Bocas atendidas</w:t>
            </w:r>
          </w:p>
        </w:tc>
        <w:tc>
          <w:tcPr>
            <w:tcW w:type="dxa" w:w="1750"/>
            <w:tcMar>
              <w:top w:type="dxa" w:w="70"/>
              <w:left w:type="dxa" w:w="110"/>
              <w:bottom w:type="dxa" w:w="70"/>
              <w:right w:type="dxa" w:w="110"/>
            </w:tcMar>
          </w:tcPr>
          <w:p>
            <w:pPr>
              <w:spacing w:after="0"/>
              <w:jc w:val="right"/>
            </w:pPr>
            <w:r>
              <w:rPr>
                <w:rFonts w:ascii="Calibri" w:cs="Calibri" w:eastAsia="Calibri" w:hAnsi="Calibri"/>
                <w:sz w:val="19"/>
                <w:szCs w:val="19"/>
              </w:rPr>
              <w:t xml:space="preserve">2</w:t>
            </w:r>
          </w:p>
        </w:tc>
        <w:tc>
          <w:tcPr>
            <w:tcW w:type="dxa" w:w="2100"/>
            <w:tcMar>
              <w:top w:type="dxa" w:w="70"/>
              <w:left w:type="dxa" w:w="110"/>
              <w:bottom w:type="dxa" w:w="70"/>
              <w:right w:type="dxa" w:w="110"/>
            </w:tcMar>
          </w:tcPr>
          <w:p>
            <w:pPr>
              <w:spacing w:after="0"/>
              <w:jc w:val="right"/>
            </w:pPr>
            <w:r>
              <w:rPr>
                <w:rFonts w:ascii="Calibri" w:cs="Calibri" w:eastAsia="Calibri" w:hAnsi="Calibri"/>
                <w:sz w:val="19"/>
                <w:szCs w:val="19"/>
              </w:rPr>
              <w:t xml:space="preserve">5</w:t>
            </w:r>
          </w:p>
        </w:tc>
        <w:tc>
          <w:tcPr>
            <w:tcW w:type="dxa" w:w="1850"/>
            <w:tcMar>
              <w:top w:type="dxa" w:w="70"/>
              <w:left w:type="dxa" w:w="110"/>
              <w:bottom w:type="dxa" w:w="70"/>
              <w:right w:type="dxa" w:w="110"/>
            </w:tcMar>
          </w:tcPr>
          <w:p>
            <w:pPr>
              <w:spacing w:after="0"/>
              <w:jc w:val="right"/>
            </w:pPr>
            <w:r>
              <w:rPr>
                <w:rFonts w:ascii="Calibri" w:cs="Calibri" w:eastAsia="Calibri" w:hAnsi="Calibri"/>
                <w:sz w:val="19"/>
                <w:szCs w:val="19"/>
              </w:rPr>
              <w:t xml:space="preserve">+3</w:t>
            </w:r>
          </w:p>
        </w:tc>
      </w:tr>
      <w:tr>
        <w:tc>
          <w:tcPr>
            <w:tcW w:type="dxa" w:w="33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Costo de la mercadería</w:t>
            </w:r>
          </w:p>
        </w:tc>
        <w:tc>
          <w:tcPr>
            <w:tcW w:type="dxa" w:w="175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$1.739.130</w:t>
            </w:r>
          </w:p>
        </w:tc>
        <w:tc>
          <w:tcPr>
            <w:tcW w:type="dxa" w:w="21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$4.347.826</w:t>
            </w:r>
          </w:p>
        </w:tc>
        <w:tc>
          <w:tcPr>
            <w:tcW w:type="dxa" w:w="185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+$2.608.696</w:t>
            </w:r>
          </w:p>
        </w:tc>
      </w:tr>
      <w:tr>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Markup aplicado</w:t>
            </w:r>
          </w:p>
        </w:tc>
        <w:tc>
          <w:tcPr>
            <w:tcW w:type="dxa" w:w="1750"/>
            <w:tcMar>
              <w:top w:type="dxa" w:w="70"/>
              <w:left w:type="dxa" w:w="110"/>
              <w:bottom w:type="dxa" w:w="70"/>
              <w:right w:type="dxa" w:w="110"/>
            </w:tcMar>
          </w:tcPr>
          <w:p>
            <w:pPr>
              <w:spacing w:after="0"/>
              <w:jc w:val="right"/>
            </w:pPr>
            <w:r>
              <w:rPr>
                <w:rFonts w:ascii="Calibri" w:cs="Calibri" w:eastAsia="Calibri" w:hAnsi="Calibri"/>
                <w:sz w:val="19"/>
                <w:szCs w:val="19"/>
              </w:rPr>
              <w:t xml:space="preserve">15,0%</w:t>
            </w:r>
          </w:p>
        </w:tc>
        <w:tc>
          <w:tcPr>
            <w:tcW w:type="dxa" w:w="2100"/>
            <w:tcMar>
              <w:top w:type="dxa" w:w="70"/>
              <w:left w:type="dxa" w:w="110"/>
              <w:bottom w:type="dxa" w:w="70"/>
              <w:right w:type="dxa" w:w="110"/>
            </w:tcMar>
          </w:tcPr>
          <w:p>
            <w:pPr>
              <w:spacing w:after="0"/>
              <w:jc w:val="right"/>
            </w:pPr>
            <w:r>
              <w:rPr>
                <w:rFonts w:ascii="Calibri" w:cs="Calibri" w:eastAsia="Calibri" w:hAnsi="Calibri"/>
                <w:sz w:val="19"/>
                <w:szCs w:val="19"/>
              </w:rPr>
              <w:t xml:space="preserve">10,0%</w:t>
            </w:r>
          </w:p>
        </w:tc>
        <w:tc>
          <w:tcPr>
            <w:tcW w:type="dxa" w:w="1850"/>
            <w:tcMar>
              <w:top w:type="dxa" w:w="70"/>
              <w:left w:type="dxa" w:w="110"/>
              <w:bottom w:type="dxa" w:w="70"/>
              <w:right w:type="dxa" w:w="110"/>
            </w:tcMar>
          </w:tcPr>
          <w:p>
            <w:pPr>
              <w:spacing w:after="0"/>
              <w:jc w:val="right"/>
            </w:pPr>
            <w:r>
              <w:rPr>
                <w:rFonts w:ascii="Calibri" w:cs="Calibri" w:eastAsia="Calibri" w:hAnsi="Calibri"/>
                <w:sz w:val="19"/>
                <w:szCs w:val="19"/>
              </w:rPr>
              <w:t xml:space="preserve">-5,0 p.p.</w:t>
            </w:r>
          </w:p>
        </w:tc>
      </w:tr>
      <w:tr>
        <w:tc>
          <w:tcPr>
            <w:tcW w:type="dxa" w:w="33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Facturación</w:t>
            </w:r>
          </w:p>
        </w:tc>
        <w:tc>
          <w:tcPr>
            <w:tcW w:type="dxa" w:w="175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$2.000.000</w:t>
            </w:r>
          </w:p>
        </w:tc>
        <w:tc>
          <w:tcPr>
            <w:tcW w:type="dxa" w:w="21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$4.782.609</w:t>
            </w:r>
          </w:p>
        </w:tc>
        <w:tc>
          <w:tcPr>
            <w:tcW w:type="dxa" w:w="185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+$2.782.609</w:t>
            </w:r>
          </w:p>
        </w:tc>
      </w:tr>
      <w:tr>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Margen bruto</w:t>
            </w:r>
          </w:p>
        </w:tc>
        <w:tc>
          <w:tcPr>
            <w:tcW w:type="dxa" w:w="1750"/>
            <w:tcMar>
              <w:top w:type="dxa" w:w="70"/>
              <w:left w:type="dxa" w:w="110"/>
              <w:bottom w:type="dxa" w:w="70"/>
              <w:right w:type="dxa" w:w="110"/>
            </w:tcMar>
          </w:tcPr>
          <w:p>
            <w:pPr>
              <w:spacing w:after="0"/>
              <w:jc w:val="right"/>
            </w:pPr>
            <w:r>
              <w:rPr>
                <w:rFonts w:ascii="Calibri" w:cs="Calibri" w:eastAsia="Calibri" w:hAnsi="Calibri"/>
                <w:sz w:val="19"/>
                <w:szCs w:val="19"/>
              </w:rPr>
              <w:t xml:space="preserve">$260.870</w:t>
            </w:r>
          </w:p>
        </w:tc>
        <w:tc>
          <w:tcPr>
            <w:tcW w:type="dxa" w:w="2100"/>
            <w:tcMar>
              <w:top w:type="dxa" w:w="70"/>
              <w:left w:type="dxa" w:w="110"/>
              <w:bottom w:type="dxa" w:w="70"/>
              <w:right w:type="dxa" w:w="110"/>
            </w:tcMar>
          </w:tcPr>
          <w:p>
            <w:pPr>
              <w:spacing w:after="0"/>
              <w:jc w:val="right"/>
            </w:pPr>
            <w:r>
              <w:rPr>
                <w:rFonts w:ascii="Calibri" w:cs="Calibri" w:eastAsia="Calibri" w:hAnsi="Calibri"/>
                <w:sz w:val="19"/>
                <w:szCs w:val="19"/>
              </w:rPr>
              <w:t xml:space="preserve">$434.783</w:t>
            </w:r>
          </w:p>
        </w:tc>
        <w:tc>
          <w:tcPr>
            <w:tcW w:type="dxa" w:w="1850"/>
            <w:tcMar>
              <w:top w:type="dxa" w:w="70"/>
              <w:left w:type="dxa" w:w="110"/>
              <w:bottom w:type="dxa" w:w="70"/>
              <w:right w:type="dxa" w:w="110"/>
            </w:tcMar>
          </w:tcPr>
          <w:p>
            <w:pPr>
              <w:spacing w:after="0"/>
              <w:jc w:val="right"/>
            </w:pPr>
            <w:r>
              <w:rPr>
                <w:rFonts w:ascii="Calibri" w:cs="Calibri" w:eastAsia="Calibri" w:hAnsi="Calibri"/>
                <w:sz w:val="19"/>
                <w:szCs w:val="19"/>
              </w:rPr>
              <w:t xml:space="preserve">+$173.913</w:t>
            </w:r>
          </w:p>
        </w:tc>
      </w:tr>
      <w:tr>
        <w:tc>
          <w:tcPr>
            <w:tcW w:type="dxa" w:w="33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Costo de servir</w:t>
            </w:r>
          </w:p>
        </w:tc>
        <w:tc>
          <w:tcPr>
            <w:tcW w:type="dxa" w:w="175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$100.000</w:t>
            </w:r>
          </w:p>
        </w:tc>
        <w:tc>
          <w:tcPr>
            <w:tcW w:type="dxa" w:w="21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$250.000</w:t>
            </w:r>
          </w:p>
        </w:tc>
        <w:tc>
          <w:tcPr>
            <w:tcW w:type="dxa" w:w="185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+$150.000</w:t>
            </w:r>
          </w:p>
        </w:tc>
      </w:tr>
      <w:tr>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Costo financiero del plazo</w:t>
            </w:r>
          </w:p>
        </w:tc>
        <w:tc>
          <w:tcPr>
            <w:tcW w:type="dxa" w:w="1750"/>
            <w:tcMar>
              <w:top w:type="dxa" w:w="70"/>
              <w:left w:type="dxa" w:w="110"/>
              <w:bottom w:type="dxa" w:w="70"/>
              <w:right w:type="dxa" w:w="110"/>
            </w:tcMar>
          </w:tcPr>
          <w:p>
            <w:pPr>
              <w:spacing w:after="0"/>
              <w:jc w:val="right"/>
            </w:pPr>
            <w:r>
              <w:rPr>
                <w:rFonts w:ascii="Calibri" w:cs="Calibri" w:eastAsia="Calibri" w:hAnsi="Calibri"/>
                <w:sz w:val="19"/>
                <w:szCs w:val="19"/>
              </w:rPr>
              <w:t xml:space="preserve">$35.000</w:t>
            </w:r>
          </w:p>
        </w:tc>
        <w:tc>
          <w:tcPr>
            <w:tcW w:type="dxa" w:w="2100"/>
            <w:tcMar>
              <w:top w:type="dxa" w:w="70"/>
              <w:left w:type="dxa" w:w="110"/>
              <w:bottom w:type="dxa" w:w="70"/>
              <w:right w:type="dxa" w:w="110"/>
            </w:tcMar>
          </w:tcPr>
          <w:p>
            <w:pPr>
              <w:spacing w:after="0"/>
              <w:jc w:val="right"/>
            </w:pPr>
            <w:r>
              <w:rPr>
                <w:rFonts w:ascii="Calibri" w:cs="Calibri" w:eastAsia="Calibri" w:hAnsi="Calibri"/>
                <w:sz w:val="19"/>
                <w:szCs w:val="19"/>
              </w:rPr>
              <w:t xml:space="preserve">$83.696</w:t>
            </w:r>
          </w:p>
        </w:tc>
        <w:tc>
          <w:tcPr>
            <w:tcW w:type="dxa" w:w="1850"/>
            <w:tcMar>
              <w:top w:type="dxa" w:w="70"/>
              <w:left w:type="dxa" w:w="110"/>
              <w:bottom w:type="dxa" w:w="70"/>
              <w:right w:type="dxa" w:w="110"/>
            </w:tcMar>
          </w:tcPr>
          <w:p>
            <w:pPr>
              <w:spacing w:after="0"/>
              <w:jc w:val="right"/>
            </w:pPr>
            <w:r>
              <w:rPr>
                <w:rFonts w:ascii="Calibri" w:cs="Calibri" w:eastAsia="Calibri" w:hAnsi="Calibri"/>
                <w:sz w:val="19"/>
                <w:szCs w:val="19"/>
              </w:rPr>
              <w:t xml:space="preserve">+$48.696</w:t>
            </w:r>
          </w:p>
        </w:tc>
      </w:tr>
      <w:tr>
        <w:tc>
          <w:tcPr>
            <w:tcW w:type="dxa" w:w="3300"/>
            <w:shd w:fill="F2F2F2"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RESULTADO OPERATIVO</w:t>
            </w:r>
          </w:p>
        </w:tc>
        <w:tc>
          <w:tcPr>
            <w:tcW w:type="dxa" w:w="1750"/>
            <w:shd w:fill="F2F2F2" w:color="auto" w:val="clear"/>
            <w:tcMar>
              <w:top w:type="dxa" w:w="70"/>
              <w:left w:type="dxa" w:w="110"/>
              <w:bottom w:type="dxa" w:w="70"/>
              <w:right w:type="dxa" w:w="110"/>
            </w:tcMar>
          </w:tcPr>
          <w:p>
            <w:pPr>
              <w:spacing w:after="0"/>
              <w:jc w:val="right"/>
            </w:pPr>
            <w:r>
              <w:rPr>
                <w:rFonts w:ascii="Calibri" w:cs="Calibri" w:eastAsia="Calibri" w:hAnsi="Calibri"/>
                <w:b/>
                <w:bCs/>
                <w:sz w:val="19"/>
                <w:szCs w:val="19"/>
              </w:rPr>
              <w:t xml:space="preserve">$125.870</w:t>
            </w:r>
          </w:p>
        </w:tc>
        <w:tc>
          <w:tcPr>
            <w:tcW w:type="dxa" w:w="2100"/>
            <w:shd w:fill="F2F2F2" w:color="auto" w:val="clear"/>
            <w:tcMar>
              <w:top w:type="dxa" w:w="70"/>
              <w:left w:type="dxa" w:w="110"/>
              <w:bottom w:type="dxa" w:w="70"/>
              <w:right w:type="dxa" w:w="110"/>
            </w:tcMar>
          </w:tcPr>
          <w:p>
            <w:pPr>
              <w:spacing w:after="0"/>
              <w:jc w:val="right"/>
            </w:pPr>
            <w:r>
              <w:rPr>
                <w:rFonts w:ascii="Calibri" w:cs="Calibri" w:eastAsia="Calibri" w:hAnsi="Calibri"/>
                <w:b/>
                <w:bCs/>
                <w:sz w:val="19"/>
                <w:szCs w:val="19"/>
              </w:rPr>
              <w:t xml:space="preserve">$101.087</w:t>
            </w:r>
          </w:p>
        </w:tc>
        <w:tc>
          <w:tcPr>
            <w:tcW w:type="dxa" w:w="1850"/>
            <w:shd w:fill="F2F2F2" w:color="auto" w:val="clear"/>
            <w:tcMar>
              <w:top w:type="dxa" w:w="70"/>
              <w:left w:type="dxa" w:w="110"/>
              <w:bottom w:type="dxa" w:w="70"/>
              <w:right w:type="dxa" w:w="110"/>
            </w:tcMar>
          </w:tcPr>
          <w:p>
            <w:pPr>
              <w:spacing w:after="0"/>
              <w:jc w:val="right"/>
            </w:pPr>
            <w:r>
              <w:rPr>
                <w:rFonts w:ascii="Calibri" w:cs="Calibri" w:eastAsia="Calibri" w:hAnsi="Calibri"/>
                <w:b/>
                <w:bCs/>
                <w:sz w:val="19"/>
                <w:szCs w:val="19"/>
              </w:rPr>
              <w:t xml:space="preserve">-$24.783</w:t>
            </w:r>
          </w:p>
        </w:tc>
      </w:tr>
    </w:tbl>
    <w:p>
      <w:pPr>
        <w:spacing w:after="200" w:line="276"/>
      </w:pPr>
      <w:r>
        <w:rPr>
          <w:rFonts w:ascii="Calibri" w:cs="Calibri" w:eastAsia="Calibri" w:hAnsi="Calibri"/>
          <w:i/>
          <w:iCs/>
          <w:sz w:val="19"/>
          <w:szCs w:val="19"/>
        </w:rPr>
        <w:t xml:space="preserve">Anualizado son unos $297.000 menos. Es una diferencia chica: si el costo de servir resulta ser $35.000 por boca en vez de $50.000, la propuesta pasa a dejarte $50.000 por mes más que hoy. Por eso ese supuesto hay que medirlo, no estimarlo.</w:t>
      </w:r>
    </w:p>
    <w:p>
      <w:pPr>
        <w:pStyle w:val="Heading2"/>
        <w:spacing w:after="110" w:before="220"/>
      </w:pPr>
      <w:r>
        <w:rPr>
          <w:rFonts w:ascii="Calibri" w:cs="Calibri" w:eastAsia="Calibri" w:hAnsi="Calibri"/>
          <w:b/>
          <w:bCs/>
          <w:color w:val="1F3864"/>
          <w:sz w:val="23"/>
          <w:szCs w:val="23"/>
        </w:rPr>
        <w:t xml:space="preserve">3.2 El test de escala: cuánto vale tu hora</w:t>
      </w:r>
    </w:p>
    <w:p>
      <w:pPr>
        <w:spacing w:after="120" w:line="276"/>
      </w:pPr>
      <w:r>
        <w:rPr>
          <w:rFonts w:ascii="Calibri" w:cs="Calibri" w:eastAsia="Calibri" w:hAnsi="Calibri"/>
          <w:sz w:val="21"/>
          <w:szCs w:val="21"/>
        </w:rPr>
        <w:t xml:space="preserve">Acá la propuesta deja de ser ambigua. Es el cuadro que mejor cierra la discusión, y el que conviene tener en la cabeza el viernes: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200"/>
      </w:tblGrid>
      <w:tr>
        <w:trPr>
          <w:tblHeader/>
        </w:trPr>
        <w:tc>
          <w:tcPr>
            <w:tcW w:type="dxa" w:w="33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Concepto</w:t>
            </w:r>
          </w:p>
        </w:tc>
        <w:tc>
          <w:tcPr>
            <w:tcW w:type="dxa" w:w="25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Hoy</w:t>
            </w:r>
          </w:p>
        </w:tc>
        <w:tc>
          <w:tcPr>
            <w:tcW w:type="dxa" w:w="32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Propuesta</w:t>
            </w:r>
          </w:p>
        </w:tc>
      </w:tr>
      <w:tr>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Horas propias por mes en estas bocas</w:t>
            </w:r>
          </w:p>
        </w:tc>
        <w:tc>
          <w:tcPr>
            <w:tcW w:type="dxa" w:w="2500"/>
            <w:tcMar>
              <w:top w:type="dxa" w:w="70"/>
              <w:left w:type="dxa" w:w="110"/>
              <w:bottom w:type="dxa" w:w="70"/>
              <w:right w:type="dxa" w:w="110"/>
            </w:tcMar>
          </w:tcPr>
          <w:p>
            <w:pPr>
              <w:spacing w:after="0"/>
              <w:jc w:val="right"/>
            </w:pPr>
            <w:r>
              <w:rPr>
                <w:rFonts w:ascii="Calibri" w:cs="Calibri" w:eastAsia="Calibri" w:hAnsi="Calibri"/>
                <w:sz w:val="19"/>
                <w:szCs w:val="19"/>
              </w:rPr>
              <w:t xml:space="preserve">12 h</w:t>
            </w:r>
          </w:p>
        </w:tc>
        <w:tc>
          <w:tcPr>
            <w:tcW w:type="dxa" w:w="3200"/>
            <w:tcMar>
              <w:top w:type="dxa" w:w="70"/>
              <w:left w:type="dxa" w:w="110"/>
              <w:bottom w:type="dxa" w:w="70"/>
              <w:right w:type="dxa" w:w="110"/>
            </w:tcMar>
          </w:tcPr>
          <w:p>
            <w:pPr>
              <w:spacing w:after="0"/>
              <w:jc w:val="right"/>
            </w:pPr>
            <w:r>
              <w:rPr>
                <w:rFonts w:ascii="Calibri" w:cs="Calibri" w:eastAsia="Calibri" w:hAnsi="Calibri"/>
                <w:sz w:val="19"/>
                <w:szCs w:val="19"/>
              </w:rPr>
              <w:t xml:space="preserve">30 h</w:t>
            </w:r>
          </w:p>
        </w:tc>
      </w:tr>
      <w:tr>
        <w:tc>
          <w:tcPr>
            <w:tcW w:type="dxa" w:w="33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Margen bruto por hora trabajada</w:t>
            </w:r>
          </w:p>
        </w:tc>
        <w:tc>
          <w:tcPr>
            <w:tcW w:type="dxa" w:w="25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$21.739/h</w:t>
            </w:r>
          </w:p>
        </w:tc>
        <w:tc>
          <w:tcPr>
            <w:tcW w:type="dxa" w:w="32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$14.493/h</w:t>
            </w:r>
          </w:p>
        </w:tc>
      </w:tr>
      <w:tr>
        <w:tc>
          <w:tcPr>
            <w:tcW w:type="dxa" w:w="3300"/>
            <w:tcMar>
              <w:top w:type="dxa" w:w="70"/>
              <w:left w:type="dxa" w:w="110"/>
              <w:bottom w:type="dxa" w:w="70"/>
              <w:right w:type="dxa" w:w="110"/>
            </w:tcMar>
          </w:tcPr>
          <w:p>
            <w:pPr>
              <w:spacing w:after="0"/>
            </w:pPr>
            <w:r>
              <w:rPr>
                <w:rFonts w:ascii="Calibri" w:cs="Calibri" w:eastAsia="Calibri" w:hAnsi="Calibri"/>
                <w:sz w:val="19"/>
                <w:szCs w:val="19"/>
              </w:rPr>
              <w:t xml:space="preserve">Resultado por hora trabajada</w:t>
            </w:r>
          </w:p>
        </w:tc>
        <w:tc>
          <w:tcPr>
            <w:tcW w:type="dxa" w:w="2500"/>
            <w:tcMar>
              <w:top w:type="dxa" w:w="70"/>
              <w:left w:type="dxa" w:w="110"/>
              <w:bottom w:type="dxa" w:w="70"/>
              <w:right w:type="dxa" w:w="110"/>
            </w:tcMar>
          </w:tcPr>
          <w:p>
            <w:pPr>
              <w:spacing w:after="0"/>
              <w:jc w:val="right"/>
            </w:pPr>
            <w:r>
              <w:rPr>
                <w:rFonts w:ascii="Calibri" w:cs="Calibri" w:eastAsia="Calibri" w:hAnsi="Calibri"/>
                <w:sz w:val="19"/>
                <w:szCs w:val="19"/>
              </w:rPr>
              <w:t xml:space="preserve">$10.489/h</w:t>
            </w:r>
          </w:p>
        </w:tc>
        <w:tc>
          <w:tcPr>
            <w:tcW w:type="dxa" w:w="3200"/>
            <w:tcMar>
              <w:top w:type="dxa" w:w="70"/>
              <w:left w:type="dxa" w:w="110"/>
              <w:bottom w:type="dxa" w:w="70"/>
              <w:right w:type="dxa" w:w="110"/>
            </w:tcMar>
          </w:tcPr>
          <w:p>
            <w:pPr>
              <w:spacing w:after="0"/>
              <w:jc w:val="right"/>
            </w:pPr>
            <w:r>
              <w:rPr>
                <w:rFonts w:ascii="Calibri" w:cs="Calibri" w:eastAsia="Calibri" w:hAnsi="Calibri"/>
                <w:sz w:val="19"/>
                <w:szCs w:val="19"/>
              </w:rPr>
              <w:t xml:space="preserve">$3.370/h</w:t>
            </w:r>
          </w:p>
        </w:tc>
      </w:tr>
    </w:tbl>
    <w:p>
      <w:pPr>
        <w:spacing w:after="200" w:line="276"/>
      </w:pPr>
      <w:r>
        <w:rPr>
          <w:rFonts w:ascii="Calibri" w:cs="Calibri" w:eastAsia="Calibri" w:hAnsi="Calibri"/>
          <w:i/>
          <w:iCs/>
          <w:sz w:val="19"/>
          <w:szCs w:val="19"/>
        </w:rPr>
        <w:t xml:space="preserve">Dos horas y media más de trabajo por semana, todas las semanas, para ganar lo mismo o un poco menos. Un negocio que en plata empata pero que te consume el triple de tiempo no es un negocio neutro: es un negocio malo con disfraz.</w:t>
      </w:r>
    </w:p>
    <w:p>
      <w:pPr>
        <w:pStyle w:val="Heading2"/>
        <w:spacing w:after="110" w:before="220"/>
      </w:pPr>
      <w:r>
        <w:rPr>
          <w:rFonts w:ascii="Calibri" w:cs="Calibri" w:eastAsia="Calibri" w:hAnsi="Calibri"/>
          <w:b/>
          <w:bCs/>
          <w:color w:val="1F3864"/>
          <w:sz w:val="23"/>
          <w:szCs w:val="23"/>
        </w:rPr>
        <w:t xml:space="preserve">3.3 El markup mínimo que podés aceptar</w:t>
      </w:r>
    </w:p>
    <w:p>
      <w:pPr>
        <w:spacing w:after="120" w:line="276"/>
      </w:pPr>
      <w:r>
        <w:rPr>
          <w:rFonts w:ascii="Calibri" w:cs="Calibri" w:eastAsia="Calibri" w:hAnsi="Calibri"/>
          <w:sz w:val="21"/>
          <w:szCs w:val="21"/>
        </w:rPr>
        <w:t xml:space="preserve">El punto de indiferencia es el markup al que la operación te deja exactamente lo mismo que ganás hoy. Este es el número más útil de todo el análisis, porque convierte una discusión de principios en un pedido concreto.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Referencia</w:t>
            </w:r>
          </w:p>
        </w:tc>
        <w:tc>
          <w:tcPr>
            <w:tcW w:type="dxa" w:w="24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Markup</w:t>
            </w:r>
          </w:p>
        </w:tc>
        <w:tc>
          <w:tcPr>
            <w:tcW w:type="dxa" w:w="24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Lectura</w:t>
            </w:r>
          </w:p>
        </w:tc>
      </w:tr>
      <w:tr>
        <w:tc>
          <w:tcPr>
            <w:tcW w:type="dxa" w:w="4200"/>
            <w:tcMar>
              <w:top w:type="dxa" w:w="70"/>
              <w:left w:type="dxa" w:w="110"/>
              <w:bottom w:type="dxa" w:w="70"/>
              <w:right w:type="dxa" w:w="110"/>
            </w:tcMar>
          </w:tcPr>
          <w:p>
            <w:pPr>
              <w:spacing w:after="0"/>
            </w:pPr>
            <w:r>
              <w:rPr>
                <w:rFonts w:ascii="Calibri" w:cs="Calibri" w:eastAsia="Calibri" w:hAnsi="Calibri"/>
                <w:sz w:val="19"/>
                <w:szCs w:val="19"/>
              </w:rPr>
              <w:t xml:space="preserve">Directo a supermercado</w:t>
            </w:r>
          </w:p>
        </w:tc>
        <w:tc>
          <w:tcPr>
            <w:tcW w:type="dxa" w:w="2400"/>
            <w:tcMar>
              <w:top w:type="dxa" w:w="70"/>
              <w:left w:type="dxa" w:w="110"/>
              <w:bottom w:type="dxa" w:w="70"/>
              <w:right w:type="dxa" w:w="110"/>
            </w:tcMar>
          </w:tcPr>
          <w:p>
            <w:pPr>
              <w:spacing w:after="0"/>
              <w:jc w:val="right"/>
            </w:pPr>
            <w:r>
              <w:rPr>
                <w:rFonts w:ascii="Calibri" w:cs="Calibri" w:eastAsia="Calibri" w:hAnsi="Calibri"/>
                <w:sz w:val="19"/>
                <w:szCs w:val="19"/>
              </w:rPr>
              <w:t xml:space="preserve">15,00%</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lo que marco hoy</w:t>
            </w:r>
          </w:p>
        </w:tc>
      </w:tr>
      <w:tr>
        <w:tc>
          <w:tcPr>
            <w:tcW w:type="dxa" w:w="42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Mi mejor precio mayorista</w:t>
            </w:r>
          </w:p>
        </w:tc>
        <w:tc>
          <w:tcPr>
            <w:tcW w:type="dxa" w:w="24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12,00%</w:t>
            </w:r>
          </w:p>
        </w:tc>
        <w:tc>
          <w:tcPr>
            <w:tcW w:type="dxa" w:w="24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lo que marco a cualquier mayorista</w:t>
            </w:r>
          </w:p>
        </w:tc>
      </w:tr>
      <w:tr>
        <w:tc>
          <w:tcPr>
            <w:tcW w:type="dxa" w:w="4200"/>
            <w:tcMar>
              <w:top w:type="dxa" w:w="70"/>
              <w:left w:type="dxa" w:w="110"/>
              <w:bottom w:type="dxa" w:w="70"/>
              <w:right w:type="dxa" w:w="110"/>
            </w:tcMar>
          </w:tcPr>
          <w:p>
            <w:pPr>
              <w:spacing w:after="0"/>
            </w:pPr>
            <w:r>
              <w:rPr>
                <w:rFonts w:ascii="Calibri" w:cs="Calibri" w:eastAsia="Calibri" w:hAnsi="Calibri"/>
                <w:sz w:val="19"/>
                <w:szCs w:val="19"/>
              </w:rPr>
              <w:t xml:space="preserve">Mi mínimo aceptable en esta operación</w:t>
            </w:r>
          </w:p>
        </w:tc>
        <w:tc>
          <w:tcPr>
            <w:tcW w:type="dxa" w:w="2400"/>
            <w:tcMar>
              <w:top w:type="dxa" w:w="70"/>
              <w:left w:type="dxa" w:w="110"/>
              <w:bottom w:type="dxa" w:w="70"/>
              <w:right w:type="dxa" w:w="110"/>
            </w:tcMar>
          </w:tcPr>
          <w:p>
            <w:pPr>
              <w:spacing w:after="0"/>
              <w:jc w:val="right"/>
            </w:pPr>
            <w:r>
              <w:rPr>
                <w:rFonts w:ascii="Calibri" w:cs="Calibri" w:eastAsia="Calibri" w:hAnsi="Calibri"/>
                <w:sz w:val="19"/>
                <w:szCs w:val="19"/>
              </w:rPr>
              <w:t xml:space="preserve">10,58%</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empato con hoy</w:t>
            </w:r>
          </w:p>
        </w:tc>
      </w:tr>
      <w:tr>
        <w:tc>
          <w:tcPr>
            <w:tcW w:type="dxa" w:w="42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Lo que él ofrece</w:t>
            </w:r>
          </w:p>
        </w:tc>
        <w:tc>
          <w:tcPr>
            <w:tcW w:type="dxa" w:w="24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10,00%</w:t>
            </w:r>
          </w:p>
        </w:tc>
        <w:tc>
          <w:tcPr>
            <w:tcW w:type="dxa" w:w="24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por debajo del mínimo</w:t>
            </w:r>
          </w:p>
        </w:tc>
      </w:tr>
      <w:tr>
        <w:tc>
          <w:tcPr>
            <w:tcW w:type="dxa" w:w="4200"/>
            <w:shd w:fill="DDEB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BRECHA</w:t>
            </w:r>
          </w:p>
        </w:tc>
        <w:tc>
          <w:tcPr>
            <w:tcW w:type="dxa" w:w="2400"/>
            <w:shd w:fill="DDEBF7" w:color="auto" w:val="clear"/>
            <w:tcMar>
              <w:top w:type="dxa" w:w="70"/>
              <w:left w:type="dxa" w:w="110"/>
              <w:bottom w:type="dxa" w:w="70"/>
              <w:right w:type="dxa" w:w="110"/>
            </w:tcMar>
          </w:tcPr>
          <w:p>
            <w:pPr>
              <w:spacing w:after="0"/>
              <w:jc w:val="right"/>
            </w:pPr>
            <w:r>
              <w:rPr>
                <w:rFonts w:ascii="Calibri" w:cs="Calibri" w:eastAsia="Calibri" w:hAnsi="Calibri"/>
                <w:b/>
                <w:bCs/>
                <w:sz w:val="19"/>
                <w:szCs w:val="19"/>
              </w:rPr>
              <w:t xml:space="preserve">-0,58 p.p.</w:t>
            </w:r>
          </w:p>
        </w:tc>
        <w:tc>
          <w:tcPr>
            <w:tcW w:type="dxa" w:w="2400"/>
            <w:shd w:fill="DDEB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falta medio punto</w:t>
            </w:r>
          </w:p>
        </w:tc>
      </w:tr>
    </w:tbl>
    <w:p>
      <w:pPr>
        <w:spacing w:after="120" w:line="276"/>
      </w:pPr>
      <w:r>
        <w:rPr>
          <w:rFonts w:ascii="Calibri" w:cs="Calibri" w:eastAsia="Calibri" w:hAnsi="Calibri"/>
          <w:b/>
          <w:bCs/>
          <w:i w:val="false"/>
          <w:iCs w:val="false"/>
          <w:sz w:val="21"/>
          <w:szCs w:val="21"/>
        </w:rPr>
        <w:t xml:space="preserve">Lo importante de este cuadro: </w:t>
      </w:r>
      <w:r>
        <w:rPr>
          <w:rFonts w:ascii="Calibri" w:cs="Calibri" w:eastAsia="Calibri" w:hAnsi="Calibri"/>
          <w:b w:val="false"/>
          <w:bCs w:val="false"/>
          <w:i w:val="false"/>
          <w:iCs w:val="false"/>
          <w:sz w:val="21"/>
          <w:szCs w:val="21"/>
        </w:rPr>
        <w:t xml:space="preserve">la brecha es de seis décimas de punto. No estás peleando una guerra, estás pidiendo un ajuste chico. Y fijate el otro dato: tu mínimo (10,58%) está por debajo de tu precio mayorista normal (12%), lo cual quiere decir que </w:t>
      </w:r>
      <w:r>
        <w:rPr>
          <w:rFonts w:ascii="Calibri" w:cs="Calibri" w:eastAsia="Calibri" w:hAnsi="Calibri"/>
          <w:b/>
          <w:bCs/>
          <w:i w:val="false"/>
          <w:iCs w:val="false"/>
          <w:sz w:val="21"/>
          <w:szCs w:val="21"/>
        </w:rPr>
        <w:t xml:space="preserve">podés hacerle un precio mejor que a cualquier mayorista y aun así ganar</w:t>
      </w:r>
      <w:r>
        <w:rPr>
          <w:rFonts w:ascii="Calibri" w:cs="Calibri" w:eastAsia="Calibri" w:hAnsi="Calibri"/>
          <w:b w:val="false"/>
          <w:bCs w:val="false"/>
          <w:i w:val="false"/>
          <w:iCs w:val="false"/>
          <w:sz w:val="21"/>
          <w:szCs w:val="21"/>
        </w:rPr>
        <w:t xml:space="preserve">. Eso te da margen de maniobra real para negociar sin romper nada.</w:t>
      </w:r>
    </w:p>
    <w:p>
      <w:pPr>
        <w:pStyle w:val="Heading2"/>
        <w:spacing w:after="110" w:before="220"/>
      </w:pPr>
      <w:r>
        <w:rPr>
          <w:rFonts w:ascii="Calibri" w:cs="Calibri" w:eastAsia="Calibri" w:hAnsi="Calibri"/>
          <w:b/>
          <w:bCs/>
          <w:color w:val="1F3864"/>
          <w:sz w:val="23"/>
          <w:szCs w:val="23"/>
        </w:rPr>
        <w:t xml:space="preserve">3.4 Qué pasa si le cobrás tu precio mayorista pleno</w:t>
      </w:r>
    </w:p>
    <w:p>
      <w:pPr>
        <w:spacing w:after="120" w:line="276"/>
      </w:pPr>
      <w:r>
        <w:rPr>
          <w:rFonts w:ascii="Calibri" w:cs="Calibri" w:eastAsia="Calibri" w:hAnsi="Calibri"/>
          <w:sz w:val="21"/>
          <w:szCs w:val="21"/>
        </w:rPr>
        <w:t xml:space="preserve">Si le hacés el mismo 12% que a cualquier mayorista, sin los dos puntos: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Concepto</w:t>
            </w:r>
          </w:p>
        </w:tc>
        <w:tc>
          <w:tcPr>
            <w:tcW w:type="dxa" w:w="24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Monto</w:t>
            </w:r>
          </w:p>
        </w:tc>
        <w:tc>
          <w:tcPr>
            <w:tcW w:type="dxa" w:w="24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Lectura</w:t>
            </w:r>
          </w:p>
        </w:tc>
      </w:tr>
      <w:tr>
        <w:tc>
          <w:tcPr>
            <w:tcW w:type="dxa" w:w="4200"/>
            <w:tcMar>
              <w:top w:type="dxa" w:w="70"/>
              <w:left w:type="dxa" w:w="110"/>
              <w:bottom w:type="dxa" w:w="70"/>
              <w:right w:type="dxa" w:w="110"/>
            </w:tcMar>
          </w:tcPr>
          <w:p>
            <w:pPr>
              <w:spacing w:after="0"/>
            </w:pPr>
            <w:r>
              <w:rPr>
                <w:rFonts w:ascii="Calibri" w:cs="Calibri" w:eastAsia="Calibri" w:hAnsi="Calibri"/>
                <w:sz w:val="19"/>
                <w:szCs w:val="19"/>
              </w:rPr>
              <w:t xml:space="preserve">Facturación mensual</w:t>
            </w:r>
          </w:p>
        </w:tc>
        <w:tc>
          <w:tcPr>
            <w:tcW w:type="dxa" w:w="2400"/>
            <w:tcMar>
              <w:top w:type="dxa" w:w="70"/>
              <w:left w:type="dxa" w:w="110"/>
              <w:bottom w:type="dxa" w:w="70"/>
              <w:right w:type="dxa" w:w="110"/>
            </w:tcMar>
          </w:tcPr>
          <w:p>
            <w:pPr>
              <w:spacing w:after="0"/>
              <w:jc w:val="right"/>
            </w:pPr>
            <w:r>
              <w:rPr>
                <w:rFonts w:ascii="Calibri" w:cs="Calibri" w:eastAsia="Calibri" w:hAnsi="Calibri"/>
                <w:sz w:val="19"/>
                <w:szCs w:val="19"/>
              </w:rPr>
              <w:t xml:space="preserve">$4.869.565</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5 bocas</w:t>
            </w:r>
          </w:p>
        </w:tc>
      </w:tr>
      <w:tr>
        <w:tc>
          <w:tcPr>
            <w:tcW w:type="dxa" w:w="42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Margen bruto</w:t>
            </w:r>
          </w:p>
        </w:tc>
        <w:tc>
          <w:tcPr>
            <w:tcW w:type="dxa" w:w="24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$521.739</w:t>
            </w:r>
          </w:p>
        </w:tc>
        <w:tc>
          <w:tcPr>
            <w:tcW w:type="dxa" w:w="24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12% sobre costo</w:t>
            </w:r>
          </w:p>
        </w:tc>
      </w:tr>
      <w:tr>
        <w:tc>
          <w:tcPr>
            <w:tcW w:type="dxa" w:w="4200"/>
            <w:tcMar>
              <w:top w:type="dxa" w:w="70"/>
              <w:left w:type="dxa" w:w="110"/>
              <w:bottom w:type="dxa" w:w="70"/>
              <w:right w:type="dxa" w:w="110"/>
            </w:tcMar>
          </w:tcPr>
          <w:p>
            <w:pPr>
              <w:spacing w:after="0"/>
            </w:pPr>
            <w:r>
              <w:rPr>
                <w:rFonts w:ascii="Calibri" w:cs="Calibri" w:eastAsia="Calibri" w:hAnsi="Calibri"/>
                <w:sz w:val="19"/>
                <w:szCs w:val="19"/>
              </w:rPr>
              <w:t xml:space="preserve">Costo de servir</w:t>
            </w:r>
          </w:p>
        </w:tc>
        <w:tc>
          <w:tcPr>
            <w:tcW w:type="dxa" w:w="2400"/>
            <w:tcMar>
              <w:top w:type="dxa" w:w="70"/>
              <w:left w:type="dxa" w:w="110"/>
              <w:bottom w:type="dxa" w:w="70"/>
              <w:right w:type="dxa" w:w="110"/>
            </w:tcMar>
          </w:tcPr>
          <w:p>
            <w:pPr>
              <w:spacing w:after="0"/>
              <w:jc w:val="right"/>
            </w:pPr>
            <w:r>
              <w:rPr>
                <w:rFonts w:ascii="Calibri" w:cs="Calibri" w:eastAsia="Calibri" w:hAnsi="Calibri"/>
                <w:sz w:val="19"/>
                <w:szCs w:val="19"/>
              </w:rPr>
              <w:t xml:space="preserve">-$250.000</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5 bocas</w:t>
            </w:r>
          </w:p>
        </w:tc>
      </w:tr>
      <w:tr>
        <w:tc>
          <w:tcPr>
            <w:tcW w:type="dxa" w:w="42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Costo financiero</w:t>
            </w:r>
          </w:p>
        </w:tc>
        <w:tc>
          <w:tcPr>
            <w:tcW w:type="dxa" w:w="24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-$85.217</w:t>
            </w:r>
          </w:p>
        </w:tc>
        <w:tc>
          <w:tcPr>
            <w:tcW w:type="dxa" w:w="24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15 días</w:t>
            </w:r>
          </w:p>
        </w:tc>
      </w:tr>
      <w:tr>
        <w:tc>
          <w:tcPr>
            <w:tcW w:type="dxa" w:w="4200"/>
            <w:shd w:fill="DDEB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RESULTADO</w:t>
            </w:r>
          </w:p>
        </w:tc>
        <w:tc>
          <w:tcPr>
            <w:tcW w:type="dxa" w:w="2400"/>
            <w:shd w:fill="DDEBF7" w:color="auto" w:val="clear"/>
            <w:tcMar>
              <w:top w:type="dxa" w:w="70"/>
              <w:left w:type="dxa" w:w="110"/>
              <w:bottom w:type="dxa" w:w="70"/>
              <w:right w:type="dxa" w:w="110"/>
            </w:tcMar>
          </w:tcPr>
          <w:p>
            <w:pPr>
              <w:spacing w:after="0"/>
              <w:jc w:val="right"/>
            </w:pPr>
            <w:r>
              <w:rPr>
                <w:rFonts w:ascii="Calibri" w:cs="Calibri" w:eastAsia="Calibri" w:hAnsi="Calibri"/>
                <w:b/>
                <w:bCs/>
                <w:sz w:val="19"/>
                <w:szCs w:val="19"/>
              </w:rPr>
              <w:t xml:space="preserve">$186.522</w:t>
            </w:r>
          </w:p>
        </w:tc>
        <w:tc>
          <w:tcPr>
            <w:tcW w:type="dxa" w:w="2400"/>
            <w:shd w:fill="DDEB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+$60.652 vs. hoy</w:t>
            </w:r>
          </w:p>
        </w:tc>
      </w:tr>
    </w:tbl>
    <w:p>
      <w:pPr>
        <w:spacing w:after="200" w:line="276"/>
      </w:pPr>
      <w:r>
        <w:rPr>
          <w:rFonts w:ascii="Calibri" w:cs="Calibri" w:eastAsia="Calibri" w:hAnsi="Calibri"/>
          <w:sz w:val="21"/>
          <w:szCs w:val="21"/>
        </w:rPr>
        <w:t xml:space="preserve">Este cuadro es tu mejor argumento y tu mejor noticia: el negocio te sirve. Lo que no te sirve son los dos puntos. Eso cambia completamente el tono con el que entrás el viernes: no vas a rechazar nada, vas a corregir un precio.</w:t>
      </w:r>
    </w:p>
    <w:p>
      <w:pPr>
        <w:pStyle w:val="Heading2"/>
        <w:spacing w:after="110" w:before="220"/>
      </w:pPr>
      <w:r>
        <w:rPr>
          <w:rFonts w:ascii="Calibri" w:cs="Calibri" w:eastAsia="Calibri" w:hAnsi="Calibri"/>
          <w:b/>
          <w:bCs/>
          <w:color w:val="1F3864"/>
          <w:sz w:val="23"/>
          <w:szCs w:val="23"/>
        </w:rPr>
        <w:t xml:space="preserve">3.5 La estructura recomendada: producto + servicio</w:t>
      </w:r>
    </w:p>
    <w:p>
      <w:pPr>
        <w:spacing w:after="120" w:line="276"/>
      </w:pPr>
      <w:r>
        <w:rPr>
          <w:rFonts w:ascii="Calibri" w:cs="Calibri" w:eastAsia="Calibri" w:hAnsi="Calibri"/>
          <w:sz w:val="21"/>
          <w:szCs w:val="21"/>
        </w:rPr>
        <w:t xml:space="preserve">El paso siguiente, y el que más plata deja, es dejar de regalar el reparto. Producto a tu markup mayorista de 12%, y la reposición facturada aparte: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Concepto</w:t>
            </w:r>
          </w:p>
        </w:tc>
        <w:tc>
          <w:tcPr>
            <w:tcW w:type="dxa" w:w="24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Monto</w:t>
            </w:r>
          </w:p>
        </w:tc>
        <w:tc>
          <w:tcPr>
            <w:tcW w:type="dxa" w:w="24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Equivalencia</w:t>
            </w:r>
          </w:p>
        </w:tc>
      </w:tr>
      <w:tr>
        <w:tc>
          <w:tcPr>
            <w:tcW w:type="dxa" w:w="4200"/>
            <w:tcMar>
              <w:top w:type="dxa" w:w="70"/>
              <w:left w:type="dxa" w:w="110"/>
              <w:bottom w:type="dxa" w:w="70"/>
              <w:right w:type="dxa" w:w="110"/>
            </w:tcMar>
          </w:tcPr>
          <w:p>
            <w:pPr>
              <w:spacing w:after="0"/>
            </w:pPr>
            <w:r>
              <w:rPr>
                <w:rFonts w:ascii="Calibri" w:cs="Calibri" w:eastAsia="Calibri" w:hAnsi="Calibri"/>
                <w:sz w:val="19"/>
                <w:szCs w:val="19"/>
              </w:rPr>
              <w:t xml:space="preserve">Costo de servir las 5 bocas</w:t>
            </w:r>
          </w:p>
        </w:tc>
        <w:tc>
          <w:tcPr>
            <w:tcW w:type="dxa" w:w="2400"/>
            <w:tcMar>
              <w:top w:type="dxa" w:w="70"/>
              <w:left w:type="dxa" w:w="110"/>
              <w:bottom w:type="dxa" w:w="70"/>
              <w:right w:type="dxa" w:w="110"/>
            </w:tcMar>
          </w:tcPr>
          <w:p>
            <w:pPr>
              <w:spacing w:after="0"/>
              <w:jc w:val="right"/>
            </w:pPr>
            <w:r>
              <w:rPr>
                <w:rFonts w:ascii="Calibri" w:cs="Calibri" w:eastAsia="Calibri" w:hAnsi="Calibri"/>
                <w:sz w:val="19"/>
                <w:szCs w:val="19"/>
              </w:rPr>
              <w:t xml:space="preserve">$250.000</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por mes</w:t>
            </w:r>
          </w:p>
        </w:tc>
      </w:tr>
      <w:tr>
        <w:tc>
          <w:tcPr>
            <w:tcW w:type="dxa" w:w="42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Fee de servicio (costo + 25%)</w:t>
            </w:r>
          </w:p>
        </w:tc>
        <w:tc>
          <w:tcPr>
            <w:tcW w:type="dxa" w:w="24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$312.500</w:t>
            </w:r>
          </w:p>
        </w:tc>
        <w:tc>
          <w:tcPr>
            <w:tcW w:type="dxa" w:w="24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6,4% de la facturación</w:t>
            </w:r>
          </w:p>
        </w:tc>
      </w:tr>
      <w:tr>
        <w:tc>
          <w:tcPr>
            <w:tcW w:type="dxa" w:w="4200"/>
            <w:tcMar>
              <w:top w:type="dxa" w:w="70"/>
              <w:left w:type="dxa" w:w="110"/>
              <w:bottom w:type="dxa" w:w="70"/>
              <w:right w:type="dxa" w:w="110"/>
            </w:tcMar>
          </w:tcPr>
          <w:p>
            <w:pPr>
              <w:spacing w:after="0"/>
            </w:pPr>
            <w:r>
              <w:rPr>
                <w:rFonts w:ascii="Calibri" w:cs="Calibri" w:eastAsia="Calibri" w:hAnsi="Calibri"/>
                <w:sz w:val="19"/>
                <w:szCs w:val="19"/>
              </w:rPr>
              <w:t xml:space="preserve">Por boca, por mes</w:t>
            </w:r>
          </w:p>
        </w:tc>
        <w:tc>
          <w:tcPr>
            <w:tcW w:type="dxa" w:w="2400"/>
            <w:tcMar>
              <w:top w:type="dxa" w:w="70"/>
              <w:left w:type="dxa" w:w="110"/>
              <w:bottom w:type="dxa" w:w="70"/>
              <w:right w:type="dxa" w:w="110"/>
            </w:tcMar>
          </w:tcPr>
          <w:p>
            <w:pPr>
              <w:spacing w:after="0"/>
              <w:jc w:val="right"/>
            </w:pPr>
            <w:r>
              <w:rPr>
                <w:rFonts w:ascii="Calibri" w:cs="Calibri" w:eastAsia="Calibri" w:hAnsi="Calibri"/>
                <w:sz w:val="19"/>
                <w:szCs w:val="19"/>
              </w:rPr>
              <w:t xml:space="preserve">$62.500</w:t>
            </w:r>
          </w:p>
        </w:tc>
        <w:tc>
          <w:tcPr>
            <w:tcW w:type="dxa" w:w="2400"/>
            <w:tcMar>
              <w:top w:type="dxa" w:w="70"/>
              <w:left w:type="dxa" w:w="110"/>
              <w:bottom w:type="dxa" w:w="70"/>
              <w:right w:type="dxa" w:w="110"/>
            </w:tcMar>
          </w:tcPr>
          <w:p>
            <w:pPr>
              <w:spacing w:after="0"/>
            </w:pPr>
            <w:r>
              <w:rPr>
                <w:rFonts w:ascii="Calibri" w:cs="Calibri" w:eastAsia="Calibri" w:hAnsi="Calibri"/>
                <w:sz w:val="19"/>
                <w:szCs w:val="19"/>
              </w:rPr>
              <w:t xml:space="preserve">5 bocas</w:t>
            </w:r>
          </w:p>
        </w:tc>
      </w:tr>
      <w:tr>
        <w:tc>
          <w:tcPr>
            <w:tcW w:type="dxa" w:w="42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Por entrega</w:t>
            </w:r>
          </w:p>
        </w:tc>
        <w:tc>
          <w:tcPr>
            <w:tcW w:type="dxa" w:w="2400"/>
            <w:shd w:fill="F2F2F2" w:color="auto" w:val="clear"/>
            <w:tcMar>
              <w:top w:type="dxa" w:w="70"/>
              <w:left w:type="dxa" w:w="110"/>
              <w:bottom w:type="dxa" w:w="70"/>
              <w:right w:type="dxa" w:w="110"/>
            </w:tcMar>
          </w:tcPr>
          <w:p>
            <w:pPr>
              <w:spacing w:after="0"/>
              <w:jc w:val="right"/>
            </w:pPr>
            <w:r>
              <w:rPr>
                <w:rFonts w:ascii="Calibri" w:cs="Calibri" w:eastAsia="Calibri" w:hAnsi="Calibri"/>
                <w:sz w:val="19"/>
                <w:szCs w:val="19"/>
              </w:rPr>
              <w:t xml:space="preserve">$15.625</w:t>
            </w:r>
          </w:p>
        </w:tc>
        <w:tc>
          <w:tcPr>
            <w:tcW w:type="dxa" w:w="24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4 entregas/boca/mes</w:t>
            </w:r>
          </w:p>
        </w:tc>
      </w:tr>
      <w:tr>
        <w:tc>
          <w:tcPr>
            <w:tcW w:type="dxa" w:w="4200"/>
            <w:shd w:fill="DDEB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RESULTADO TOTAL</w:t>
            </w:r>
          </w:p>
        </w:tc>
        <w:tc>
          <w:tcPr>
            <w:tcW w:type="dxa" w:w="2400"/>
            <w:shd w:fill="DDEBF7" w:color="auto" w:val="clear"/>
            <w:tcMar>
              <w:top w:type="dxa" w:w="70"/>
              <w:left w:type="dxa" w:w="110"/>
              <w:bottom w:type="dxa" w:w="70"/>
              <w:right w:type="dxa" w:w="110"/>
            </w:tcMar>
          </w:tcPr>
          <w:p>
            <w:pPr>
              <w:spacing w:after="0"/>
              <w:jc w:val="right"/>
            </w:pPr>
            <w:r>
              <w:rPr>
                <w:rFonts w:ascii="Calibri" w:cs="Calibri" w:eastAsia="Calibri" w:hAnsi="Calibri"/>
                <w:b/>
                <w:bCs/>
                <w:sz w:val="19"/>
                <w:szCs w:val="19"/>
              </w:rPr>
              <w:t xml:space="preserve">$499.022</w:t>
            </w:r>
          </w:p>
        </w:tc>
        <w:tc>
          <w:tcPr>
            <w:tcW w:type="dxa" w:w="2400"/>
            <w:shd w:fill="DDEBF7"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+$373.152 vs. hoy</w:t>
            </w:r>
          </w:p>
        </w:tc>
      </w:tr>
    </w:tbl>
    <w:p>
      <w:pPr>
        <w:spacing w:after="200" w:line="276"/>
      </w:pPr>
      <w:r>
        <w:rPr>
          <w:rFonts w:ascii="Calibri" w:cs="Calibri" w:eastAsia="Calibri" w:hAnsi="Calibri"/>
          <w:sz w:val="21"/>
          <w:szCs w:val="21"/>
        </w:rPr>
        <w:t xml:space="preserve">Casi cuatro veces lo que ganás hoy con estas bocas. Y con una ventaja que va más allá de la plata: no toca tu lista de precios. El día que la relación se corte, tu lista quedó intacta y no hay nada que renegociar con nadie más.</w:t>
      </w:r>
    </w:p>
    <w:p>
      <w:pPr>
        <w:pStyle w:val="Heading2"/>
        <w:spacing w:after="110" w:before="220"/>
      </w:pPr>
      <w:r>
        <w:rPr>
          <w:rFonts w:ascii="Calibri" w:cs="Calibri" w:eastAsia="Calibri" w:hAnsi="Calibri"/>
          <w:b/>
          <w:bCs/>
          <w:color w:val="1F3864"/>
          <w:sz w:val="23"/>
          <w:szCs w:val="23"/>
        </w:rPr>
        <w:t xml:space="preserve">3.6 Advertencia sobre los supuestos</w:t>
      </w:r>
    </w:p>
    <w:p>
      <w:pPr>
        <w:spacing w:after="120" w:line="276"/>
      </w:pPr>
      <w:r>
        <w:rPr>
          <w:rFonts w:ascii="Calibri" w:cs="Calibri" w:eastAsia="Calibri" w:hAnsi="Calibri"/>
          <w:sz w:val="21"/>
          <w:szCs w:val="21"/>
        </w:rPr>
        <w:t xml:space="preserve">Dos números del modelo son estimaciones mías y mueven todo. Corregilos antes del viernes:</w:t>
      </w:r>
    </w:p>
    <w:p>
      <w:pPr>
        <w:pStyle w:val="ListParagraph"/>
        <w:numPr>
          <w:ilvl w:val="0"/>
          <w:numId w:val="2"/>
        </w:numPr>
        <w:spacing w:after="90" w:line="276"/>
      </w:pPr>
      <w:r>
        <w:rPr>
          <w:rFonts w:ascii="Calibri" w:cs="Calibri" w:eastAsia="Calibri" w:hAnsi="Calibri"/>
          <w:b/>
          <w:bCs/>
          <w:i w:val="false"/>
          <w:iCs w:val="false"/>
          <w:sz w:val="21"/>
          <w:szCs w:val="21"/>
        </w:rPr>
        <w:t xml:space="preserve">El costo de servir. </w:t>
      </w:r>
      <w:r>
        <w:rPr>
          <w:rFonts w:ascii="Calibri" w:cs="Calibri" w:eastAsia="Calibri" w:hAnsi="Calibri"/>
          <w:b w:val="false"/>
          <w:bCs w:val="false"/>
          <w:i w:val="false"/>
          <w:iCs w:val="false"/>
          <w:sz w:val="21"/>
          <w:szCs w:val="21"/>
        </w:rPr>
        <w:t xml:space="preserve">Lo puse en $50.000 por boca por mes: 4 visitas de hora y media a $7.000 la hora, más $8.000 fijos de combustible y vehículo. Es el parámetro que decide si la propuesta empata, gana o pierde. Cronometrá una semana real.</w:t>
      </w:r>
    </w:p>
    <w:p>
      <w:pPr>
        <w:pStyle w:val="ListParagraph"/>
        <w:numPr>
          <w:ilvl w:val="0"/>
          <w:numId w:val="2"/>
        </w:numPr>
        <w:spacing w:after="90" w:line="276"/>
      </w:pPr>
      <w:r>
        <w:rPr>
          <w:rFonts w:ascii="Calibri" w:cs="Calibri" w:eastAsia="Calibri" w:hAnsi="Calibri"/>
          <w:b/>
          <w:bCs/>
          <w:i w:val="false"/>
          <w:iCs w:val="false"/>
          <w:sz w:val="21"/>
          <w:szCs w:val="21"/>
        </w:rPr>
        <w:t xml:space="preserve">La facturación a tus otros mayoristas. </w:t>
      </w:r>
      <w:r>
        <w:rPr>
          <w:rFonts w:ascii="Calibri" w:cs="Calibri" w:eastAsia="Calibri" w:hAnsi="Calibri"/>
          <w:b w:val="false"/>
          <w:bCs w:val="false"/>
          <w:i w:val="false"/>
          <w:iCs w:val="false"/>
          <w:sz w:val="21"/>
          <w:szCs w:val="21"/>
        </w:rPr>
        <w:t xml:space="preserve">Puse $15.000.000 por mes como marcador, con 60% expuesto a reclamar paridad. Este número define si el contagio es un dolor o una catástrofe, y hoy es el riesgo más grande de toda la operación.</w:t>
      </w:r>
    </w:p>
    <w:p>
      <w:pPr>
        <w:pStyle w:val="ListParagraph"/>
        <w:numPr>
          <w:ilvl w:val="0"/>
          <w:numId w:val="2"/>
        </w:numPr>
        <w:spacing w:after="90" w:line="276"/>
      </w:pPr>
      <w:r>
        <w:rPr>
          <w:rFonts w:ascii="Calibri" w:cs="Calibri" w:eastAsia="Calibri" w:hAnsi="Calibri"/>
          <w:b/>
          <w:bCs/>
          <w:i w:val="false"/>
          <w:iCs w:val="false"/>
          <w:sz w:val="21"/>
          <w:szCs w:val="21"/>
        </w:rPr>
        <w:t xml:space="preserve">Y un tercero menor: </w:t>
      </w:r>
      <w:r>
        <w:rPr>
          <w:rFonts w:ascii="Calibri" w:cs="Calibri" w:eastAsia="Calibri" w:hAnsi="Calibri"/>
          <w:b w:val="false"/>
          <w:bCs w:val="false"/>
          <w:i w:val="false"/>
          <w:iCs w:val="false"/>
          <w:sz w:val="21"/>
          <w:szCs w:val="21"/>
        </w:rPr>
        <w:t xml:space="preserve">asumí que hoy cobrás a 15 días de los supermercados directos, igual que lo que él propone. Si hoy cobrás antes, la propuesta es peor de lo que dice el cuadro.</w:t>
      </w:r>
    </w:p>
    <w:p>
      <w:r>
        <w:br w:type="page"/>
      </w:r>
    </w:p>
    <w:p>
      <w:pPr>
        <w:pStyle w:val="Heading1"/>
        <w:spacing w:after="160" w:before="320"/>
      </w:pPr>
      <w:r>
        <w:rPr>
          <w:rFonts w:ascii="Calibri" w:cs="Calibri" w:eastAsia="Calibri" w:hAnsi="Calibri"/>
          <w:b/>
          <w:bCs/>
          <w:color w:val="1F3864"/>
          <w:sz w:val="28"/>
          <w:szCs w:val="28"/>
        </w:rPr>
        <w:t xml:space="preserve">4. El contexto que está jugando en la mesa</w:t>
      </w:r>
    </w:p>
    <w:p>
      <w:pPr>
        <w:spacing w:after="120" w:line="276"/>
      </w:pPr>
      <w:r>
        <w:rPr>
          <w:rFonts w:ascii="Calibri" w:cs="Calibri" w:eastAsia="Calibri" w:hAnsi="Calibri"/>
          <w:sz w:val="21"/>
          <w:szCs w:val="21"/>
        </w:rPr>
        <w:t xml:space="preserve">Dos cosas están pasando al mismo tiempo y conviene tenerlas sobre la mesa el viernes.</w:t>
      </w:r>
    </w:p>
    <w:p>
      <w:pPr>
        <w:pStyle w:val="Heading2"/>
        <w:spacing w:after="110" w:before="220"/>
      </w:pPr>
      <w:r>
        <w:rPr>
          <w:rFonts w:ascii="Calibri" w:cs="Calibri" w:eastAsia="Calibri" w:hAnsi="Calibri"/>
          <w:b/>
          <w:bCs/>
          <w:color w:val="1F3864"/>
          <w:sz w:val="23"/>
          <w:szCs w:val="23"/>
        </w:rPr>
        <w:t xml:space="preserve">4.1 El consumo está cayendo, y el canal al que te empuja es el que peor está</w:t>
      </w:r>
    </w:p>
    <w:p>
      <w:pPr>
        <w:pStyle w:val="ListParagraph"/>
        <w:numPr>
          <w:ilvl w:val="0"/>
          <w:numId w:val="2"/>
        </w:numPr>
        <w:spacing w:after="90" w:line="276"/>
      </w:pPr>
      <w:r>
        <w:rPr>
          <w:rFonts w:ascii="Calibri" w:cs="Calibri" w:eastAsia="Calibri" w:hAnsi="Calibri"/>
          <w:sz w:val="21"/>
          <w:szCs w:val="21"/>
        </w:rPr>
        <w:t xml:space="preserve">El consumo masivo acumula una caída de 2,9% en el primer semestre de 2026, con junio en -2,7% interanual.</w:t>
      </w:r>
    </w:p>
    <w:p>
      <w:pPr>
        <w:pStyle w:val="ListParagraph"/>
        <w:numPr>
          <w:ilvl w:val="0"/>
          <w:numId w:val="2"/>
        </w:numPr>
        <w:spacing w:after="90" w:line="276"/>
      </w:pPr>
      <w:r>
        <w:rPr>
          <w:rFonts w:ascii="Calibri" w:cs="Calibri" w:eastAsia="Calibri" w:hAnsi="Calibri"/>
          <w:sz w:val="21"/>
          <w:szCs w:val="21"/>
        </w:rPr>
        <w:t xml:space="preserve">Los supermercados de cadena caen 4,6% en el acumulado del año; los mayoristas cayeron 3,3% interanual en junio.</w:t>
      </w:r>
    </w:p>
    <w:p>
      <w:pPr>
        <w:pStyle w:val="ListParagraph"/>
        <w:numPr>
          <w:ilvl w:val="0"/>
          <w:numId w:val="2"/>
        </w:numPr>
        <w:spacing w:after="90" w:line="276"/>
      </w:pPr>
      <w:r>
        <w:rPr>
          <w:rFonts w:ascii="Calibri" w:cs="Calibri" w:eastAsia="Calibri" w:hAnsi="Calibri"/>
          <w:sz w:val="21"/>
          <w:szCs w:val="21"/>
        </w:rPr>
        <w:t xml:space="preserve">Las farmacias y el comercio electrónico están entre los pocos canales que mejoran.</w:t>
      </w:r>
    </w:p>
    <w:p>
      <w:pPr>
        <w:spacing w:after="120" w:line="276"/>
      </w:pPr>
      <w:r>
        <w:rPr>
          <w:rFonts w:ascii="Calibri" w:cs="Calibri" w:eastAsia="Calibri" w:hAnsi="Calibri"/>
          <w:sz w:val="21"/>
          <w:szCs w:val="21"/>
        </w:rPr>
        <w:t xml:space="preserve">Traducido a tu situación: te están invitando a poner más trabajo y menos margen en el canal que más se contrae, mientras el canal que crece es otro. No significa que las 5 bocas no sirvan; significa que el volumen incremental que te prometen probablemente sea menos de lo que suena, y que no conviene financiarlo con margen de tu lista.</w:t>
      </w:r>
    </w:p>
    <w:p>
      <w:pPr>
        <w:pStyle w:val="Heading2"/>
        <w:spacing w:after="110" w:before="220"/>
      </w:pPr>
      <w:r>
        <w:rPr>
          <w:rFonts w:ascii="Calibri" w:cs="Calibri" w:eastAsia="Calibri" w:hAnsi="Calibri"/>
          <w:b/>
          <w:bCs/>
          <w:color w:val="1F3864"/>
          <w:sz w:val="23"/>
          <w:szCs w:val="23"/>
        </w:rPr>
        <w:t xml:space="preserve">4.2 El universo de venta libre se sigue ampliando (pero el canal no cambió)</w:t>
      </w:r>
    </w:p>
    <w:p>
      <w:pPr>
        <w:spacing w:after="120" w:line="276"/>
      </w:pPr>
      <w:r>
        <w:rPr>
          <w:rFonts w:ascii="Calibri" w:cs="Calibri" w:eastAsia="Calibri" w:hAnsi="Calibri"/>
          <w:sz w:val="21"/>
          <w:szCs w:val="21"/>
        </w:rPr>
        <w:t xml:space="preserve">Conviene ser preciso acá porque son dos cosas distintas y es fácil mezclarlas. La ANMAT dictó la Disposición 4714/2026, publicada el 28 de julio y vigente desde el día siguiente, que pasa a condición de venta libre diez grupos de principios activos que antes requerían receta: antialérgicos, antivertiginosos, digestivos, oftálmicos, antipediculósicos y otros. Lo que cambia es la condición de venta, no el canal. Esos productos se siguen vendiendo en farmacia, y la disposición no habilita la venta en góndola de supermercado.</w:t>
      </w:r>
    </w:p>
    <w:p>
      <w:pPr>
        <w:spacing w:after="120" w:line="276"/>
      </w:pPr>
      <w:r>
        <w:rPr>
          <w:rFonts w:ascii="Calibri" w:cs="Calibri" w:eastAsia="Calibri" w:hAnsi="Calibri"/>
          <w:sz w:val="21"/>
          <w:szCs w:val="21"/>
        </w:rPr>
        <w:t xml:space="preserve">La venta de medicamentos en supermercados, kioscos y online con exhibición en góndola es otra discusión: es un proyecto que se viene impulsando, no una norma vigente. Vale la pena tenerlo en el radar, pero no darlo por hecho ni construir una estrategia sobre eso.</w:t>
      </w:r>
    </w:p>
    <w:p>
      <w:pPr>
        <w:spacing w:after="120" w:line="276"/>
      </w:pPr>
      <w:r>
        <w:rPr>
          <w:rFonts w:ascii="Calibri" w:cs="Calibri" w:eastAsia="Calibri" w:hAnsi="Calibri"/>
          <w:b/>
          <w:bCs/>
          <w:i w:val="false"/>
          <w:iCs w:val="false"/>
          <w:sz w:val="21"/>
          <w:szCs w:val="21"/>
        </w:rPr>
        <w:t xml:space="preserve">Aun con esa corrección, el dato importa por dos razones. </w:t>
      </w:r>
      <w:r>
        <w:rPr>
          <w:rFonts w:ascii="Calibri" w:cs="Calibri" w:eastAsia="Calibri" w:hAnsi="Calibri"/>
          <w:b w:val="false"/>
          <w:bCs w:val="false"/>
          <w:i w:val="false"/>
          <w:iCs w:val="false"/>
          <w:sz w:val="21"/>
          <w:szCs w:val="21"/>
        </w:rPr>
        <w:t xml:space="preserve">La primera es que el universo de venta libre se amplía disposición tras disposición, y con él crece el atractivo de la categoría para gente que hoy no está adentro. La segunda es que si alguna vez se habilita el canal masivo, el que ya tenga armado el conocimiento de surtido, rotación y logística capilar en supermercado va a estar parado sobre algo muy valioso. Ese alguien hoy sos vos, y es exactamente el activo que la propuesta te pide entregar a cambio de un descuento.</w:t>
      </w:r>
    </w:p>
    <w:p>
      <w:pPr>
        <w:spacing w:after="120" w:line="276"/>
      </w:pPr>
      <w:r>
        <w:rPr>
          <w:rFonts w:ascii="Calibri" w:cs="Calibri" w:eastAsia="Calibri" w:hAnsi="Calibri"/>
          <w:sz w:val="21"/>
          <w:szCs w:val="21"/>
        </w:rPr>
        <w:t xml:space="preserve">Hay un dato más que conviene tener presente: en la categoría, los precios vienen perdiendo contra la inflación. Entre mayo de 2024 y junio de 2026 los inhibidores de la bomba de protones subieron entre 30,2% y 40,4% mientras el IPC general acumuló 94,7%. En un rubro con compresión real de precios, ceder 2% de lista pesa mucho más de lo que parece.</w:t>
      </w:r>
    </w:p>
    <w:p>
      <w:pPr>
        <w:pStyle w:val="Heading1"/>
        <w:spacing w:after="160" w:before="320"/>
      </w:pPr>
      <w:r>
        <w:rPr>
          <w:rFonts w:ascii="Calibri" w:cs="Calibri" w:eastAsia="Calibri" w:hAnsi="Calibri"/>
          <w:b/>
          <w:bCs/>
          <w:color w:val="1F3864"/>
          <w:sz w:val="28"/>
          <w:szCs w:val="28"/>
        </w:rPr>
        <w:t xml:space="preserve">5. Los cuatro riesgos que no aparecen en la planilla</w:t>
      </w:r>
    </w:p>
    <w:p>
      <w:pPr>
        <w:pStyle w:val="Heading2"/>
        <w:spacing w:after="110" w:before="220"/>
      </w:pPr>
      <w:r>
        <w:rPr>
          <w:rFonts w:ascii="Calibri" w:cs="Calibri" w:eastAsia="Calibri" w:hAnsi="Calibri"/>
          <w:b/>
          <w:bCs/>
          <w:color w:val="1F3864"/>
          <w:sz w:val="23"/>
          <w:szCs w:val="23"/>
        </w:rPr>
        <w:t xml:space="preserve">5.1 La cláusula de precio más favorable encubierta</w:t>
      </w:r>
    </w:p>
    <w:p>
      <w:pPr>
        <w:spacing w:after="120" w:line="276"/>
      </w:pPr>
      <w:r>
        <w:rPr>
          <w:rFonts w:ascii="Calibri" w:cs="Calibri" w:eastAsia="Calibri" w:hAnsi="Calibri"/>
          <w:sz w:val="21"/>
          <w:szCs w:val="21"/>
        </w:rPr>
        <w:t xml:space="preserve">"Dos puntos por debajo del mejor markup que le hagas a cualquier mayorista" no es un precio: es una regla automática sobre toda tu política comercial. Cada vez que le mejorés el precio a otro, el suyo baja solo. Tres consecuencias que probablemente no estén a la vista:</w:t>
      </w:r>
    </w:p>
    <w:p>
      <w:pPr>
        <w:pStyle w:val="ListParagraph"/>
        <w:numPr>
          <w:ilvl w:val="0"/>
          <w:numId w:val="2"/>
        </w:numPr>
        <w:spacing w:after="90" w:line="276"/>
      </w:pPr>
      <w:r>
        <w:rPr>
          <w:rFonts w:ascii="Calibri" w:cs="Calibri" w:eastAsia="Calibri" w:hAnsi="Calibri"/>
          <w:sz w:val="21"/>
          <w:szCs w:val="21"/>
        </w:rPr>
        <w:t xml:space="preserve">Perdés la herramienta de la promoción puntual. No podés hacerle un precio agresivo a otro cliente por una acción corta sin que se dispare tu precio con él.</w:t>
      </w:r>
    </w:p>
    <w:p>
      <w:pPr>
        <w:pStyle w:val="ListParagraph"/>
        <w:numPr>
          <w:ilvl w:val="0"/>
          <w:numId w:val="2"/>
        </w:numPr>
        <w:spacing w:after="90" w:line="276"/>
      </w:pPr>
      <w:r>
        <w:rPr>
          <w:rFonts w:ascii="Calibri" w:cs="Calibri" w:eastAsia="Calibri" w:hAnsi="Calibri"/>
          <w:sz w:val="21"/>
          <w:szCs w:val="21"/>
        </w:rPr>
        <w:t xml:space="preserve">Te genera una obligación de transparencia que no querés tener. Para verificar el cumplimiento, él va a querer saber qué precios le hacés a los demás. Y va a preguntar.</w:t>
      </w:r>
    </w:p>
    <w:p>
      <w:pPr>
        <w:pStyle w:val="ListParagraph"/>
        <w:numPr>
          <w:ilvl w:val="0"/>
          <w:numId w:val="2"/>
        </w:numPr>
        <w:spacing w:after="90" w:line="276"/>
      </w:pPr>
      <w:r>
        <w:rPr>
          <w:rFonts w:ascii="Calibri" w:cs="Calibri" w:eastAsia="Calibri" w:hAnsi="Calibri"/>
          <w:sz w:val="21"/>
          <w:szCs w:val="21"/>
        </w:rPr>
        <w:t xml:space="preserve">Es irreversible en la práctica. Cuando quieras recomponer margen, el piso te lo fija él.</w:t>
      </w:r>
    </w:p>
    <w:p>
      <w:pPr>
        <w:spacing w:after="120" w:line="276"/>
      </w:pPr>
      <w:r>
        <w:rPr>
          <w:rFonts w:ascii="Calibri" w:cs="Calibri" w:eastAsia="Calibri" w:hAnsi="Calibri"/>
          <w:b/>
          <w:bCs/>
          <w:i w:val="false"/>
          <w:iCs w:val="false"/>
          <w:sz w:val="21"/>
          <w:szCs w:val="21"/>
        </w:rPr>
        <w:t xml:space="preserve">Si va a haber una referencia de precio, tiene que estar acotada: </w:t>
      </w:r>
      <w:r>
        <w:rPr>
          <w:rFonts w:ascii="Calibri" w:cs="Calibri" w:eastAsia="Calibri" w:hAnsi="Calibri"/>
          <w:b w:val="false"/>
          <w:bCs w:val="false"/>
          <w:i w:val="false"/>
          <w:iCs w:val="false"/>
          <w:sz w:val="21"/>
          <w:szCs w:val="21"/>
        </w:rPr>
        <w:t xml:space="preserve">mismo producto, mismo volumen mensual, misma condición de pago, mismo período. Y sin el "menos 2%": la paridad se puede discutir, la paridad con castigo no.</w:t>
      </w:r>
    </w:p>
    <w:p>
      <w:pPr>
        <w:pStyle w:val="Heading2"/>
        <w:spacing w:after="110" w:before="220"/>
      </w:pPr>
      <w:r>
        <w:rPr>
          <w:rFonts w:ascii="Calibri" w:cs="Calibri" w:eastAsia="Calibri" w:hAnsi="Calibri"/>
          <w:b/>
          <w:bCs/>
          <w:color w:val="1F3864"/>
          <w:sz w:val="23"/>
          <w:szCs w:val="23"/>
        </w:rPr>
        <w:t xml:space="preserve">5.2 La transferencia de know-how</w:t>
      </w:r>
    </w:p>
    <w:p>
      <w:pPr>
        <w:spacing w:after="120" w:line="276"/>
      </w:pPr>
      <w:r>
        <w:rPr>
          <w:rFonts w:ascii="Calibri" w:cs="Calibri" w:eastAsia="Calibri" w:hAnsi="Calibri"/>
          <w:sz w:val="21"/>
          <w:szCs w:val="21"/>
        </w:rPr>
        <w:t xml:space="preserve">Lo detectaste solo y es el núcleo del asunto. Vale la pena escribir con precisión qué es lo que le estarías enseñando, porque no es abstracto:</w:t>
      </w:r>
    </w:p>
    <w:p>
      <w:pPr>
        <w:pStyle w:val="ListParagraph"/>
        <w:numPr>
          <w:ilvl w:val="0"/>
          <w:numId w:val="2"/>
        </w:numPr>
        <w:spacing w:after="90" w:line="276"/>
      </w:pPr>
      <w:r>
        <w:rPr>
          <w:rFonts w:ascii="Calibri" w:cs="Calibri" w:eastAsia="Calibri" w:hAnsi="Calibri"/>
          <w:sz w:val="21"/>
          <w:szCs w:val="21"/>
        </w:rPr>
        <w:t xml:space="preserve">Qué SKUs rotan de verdad en góndola de supermercado y a qué velocidad.</w:t>
      </w:r>
    </w:p>
    <w:p>
      <w:pPr>
        <w:pStyle w:val="ListParagraph"/>
        <w:numPr>
          <w:ilvl w:val="0"/>
          <w:numId w:val="2"/>
        </w:numPr>
        <w:spacing w:after="90" w:line="276"/>
      </w:pPr>
      <w:r>
        <w:rPr>
          <w:rFonts w:ascii="Calibri" w:cs="Calibri" w:eastAsia="Calibri" w:hAnsi="Calibri"/>
          <w:sz w:val="21"/>
          <w:szCs w:val="21"/>
        </w:rPr>
        <w:t xml:space="preserve">El surtido y el facing óptimo según el tamaño de la boca.</w:t>
      </w:r>
    </w:p>
    <w:p>
      <w:pPr>
        <w:pStyle w:val="ListParagraph"/>
        <w:numPr>
          <w:ilvl w:val="0"/>
          <w:numId w:val="2"/>
        </w:numPr>
        <w:spacing w:after="90" w:line="276"/>
      </w:pPr>
      <w:r>
        <w:rPr>
          <w:rFonts w:ascii="Calibri" w:cs="Calibri" w:eastAsia="Calibri" w:hAnsi="Calibri"/>
          <w:sz w:val="21"/>
          <w:szCs w:val="21"/>
        </w:rPr>
        <w:t xml:space="preserve">La estacionalidad real de la categoría: analgésicos, antimigrañosos, antiespasmódicos.</w:t>
      </w:r>
    </w:p>
    <w:p>
      <w:pPr>
        <w:pStyle w:val="ListParagraph"/>
        <w:numPr>
          <w:ilvl w:val="0"/>
          <w:numId w:val="2"/>
        </w:numPr>
        <w:spacing w:after="90" w:line="276"/>
      </w:pPr>
      <w:r>
        <w:rPr>
          <w:rFonts w:ascii="Calibri" w:cs="Calibri" w:eastAsia="Calibri" w:hAnsi="Calibri"/>
          <w:sz w:val="21"/>
          <w:szCs w:val="21"/>
        </w:rPr>
        <w:t xml:space="preserve">Los puntos de precio que el consumidor acepta y dónde se cae la venta.</w:t>
      </w:r>
    </w:p>
    <w:p>
      <w:pPr>
        <w:pStyle w:val="ListParagraph"/>
        <w:numPr>
          <w:ilvl w:val="0"/>
          <w:numId w:val="2"/>
        </w:numPr>
        <w:spacing w:after="90" w:line="276"/>
      </w:pPr>
      <w:r>
        <w:rPr>
          <w:rFonts w:ascii="Calibri" w:cs="Calibri" w:eastAsia="Calibri" w:hAnsi="Calibri"/>
          <w:sz w:val="21"/>
          <w:szCs w:val="21"/>
        </w:rPr>
        <w:t xml:space="preserve">Quién te provee, en qué volúmenes y en qué condiciones.</w:t>
      </w:r>
    </w:p>
    <w:p>
      <w:pPr>
        <w:spacing w:after="120" w:line="276"/>
      </w:pPr>
      <w:r>
        <w:rPr>
          <w:rFonts w:ascii="Calibri" w:cs="Calibri" w:eastAsia="Calibri" w:hAnsi="Calibri"/>
          <w:sz w:val="21"/>
          <w:szCs w:val="21"/>
        </w:rPr>
        <w:t xml:space="preserve">Ese paquete es exactamente lo que le falta para entrar solo. El producto lo consigue cualquiera; el mapa no. Y hay una asimetría brutal: a vos te llevó años armarlo, y se transfiere en seis meses de remitos detallados y conversaciones de pasillo.</w:t>
      </w:r>
    </w:p>
    <w:p>
      <w:pPr>
        <w:spacing w:after="120" w:line="276"/>
      </w:pPr>
      <w:r>
        <w:rPr>
          <w:rFonts w:ascii="Calibri" w:cs="Calibri" w:eastAsia="Calibri" w:hAnsi="Calibri"/>
          <w:b/>
          <w:bCs/>
          <w:i w:val="false"/>
          <w:iCs w:val="false"/>
          <w:sz w:val="21"/>
          <w:szCs w:val="21"/>
        </w:rPr>
        <w:t xml:space="preserve">Regla práctica para toda la relación: </w:t>
      </w:r>
      <w:r>
        <w:rPr>
          <w:rFonts w:ascii="Calibri" w:cs="Calibri" w:eastAsia="Calibri" w:hAnsi="Calibri"/>
          <w:b w:val="false"/>
          <w:bCs w:val="false"/>
          <w:i w:val="false"/>
          <w:iCs w:val="false"/>
          <w:sz w:val="21"/>
          <w:szCs w:val="21"/>
        </w:rPr>
        <w:t xml:space="preserve">das servicio, no inteligencia. Entregás mercadería y remito. No entregás informes de rotación por SKU, ni recomendaciones de surtido por escrito, ni tu estructura de proveedores, ni tus costos. Si te los pide, la respuesta es simple y no ofende: "eso es lo que yo vendo".</w:t>
      </w:r>
    </w:p>
    <w:p>
      <w:pPr>
        <w:pStyle w:val="Heading2"/>
        <w:spacing w:after="110" w:before="220"/>
      </w:pPr>
      <w:r>
        <w:rPr>
          <w:rFonts w:ascii="Calibri" w:cs="Calibri" w:eastAsia="Calibri" w:hAnsi="Calibri"/>
          <w:b/>
          <w:bCs/>
          <w:color w:val="1F3864"/>
          <w:sz w:val="23"/>
          <w:szCs w:val="23"/>
        </w:rPr>
        <w:t xml:space="preserve">5.3 La desintermediación</w:t>
      </w:r>
    </w:p>
    <w:p>
      <w:pPr>
        <w:spacing w:after="120" w:line="276"/>
      </w:pPr>
      <w:r>
        <w:rPr>
          <w:rFonts w:ascii="Calibri" w:cs="Calibri" w:eastAsia="Calibri" w:hAnsi="Calibri"/>
          <w:sz w:val="21"/>
          <w:szCs w:val="21"/>
        </w:rPr>
        <w:t xml:space="preserve">El escenario es conocido porque se repite en todos los rubros: el distribuidor aprende la categoría con tu operación, acumula volumen agregado de las 5 bocas, y con ese volumen en la mano se sienta con el laboratorio o el importador. En ese momento vos ya no sos necesario. El plazo típico va de 12 a 18 meses, y se acorta si él tiene escala en otras categorías.</w:t>
      </w:r>
    </w:p>
    <w:p>
      <w:pPr>
        <w:spacing w:after="120" w:line="276"/>
      </w:pPr>
      <w:r>
        <w:rPr>
          <w:rFonts w:ascii="Calibri" w:cs="Calibri" w:eastAsia="Calibri" w:hAnsi="Calibri"/>
          <w:sz w:val="21"/>
          <w:szCs w:val="21"/>
        </w:rPr>
        <w:t xml:space="preserve">La señal temprana no es sutil, hay que saber escucharla: cuando empiece a pedir que la mercadería entre a su depósito en lugar de ir directo a las bocas, el bypass ya está en marcha. Ese pedido parece logístico y es estratégico.</w:t>
      </w:r>
    </w:p>
    <w:p>
      <w:pPr>
        <w:pStyle w:val="Heading2"/>
        <w:spacing w:after="110" w:before="220"/>
      </w:pPr>
      <w:r>
        <w:rPr>
          <w:rFonts w:ascii="Calibri" w:cs="Calibri" w:eastAsia="Calibri" w:hAnsi="Calibri"/>
          <w:b/>
          <w:bCs/>
          <w:color w:val="1F3864"/>
          <w:sz w:val="23"/>
          <w:szCs w:val="23"/>
        </w:rPr>
        <w:t xml:space="preserve">5.4 El conflicto de canal</w:t>
      </w:r>
    </w:p>
    <w:p>
      <w:pPr>
        <w:spacing w:after="120" w:line="276"/>
      </w:pPr>
      <w:r>
        <w:rPr>
          <w:rFonts w:ascii="Calibri" w:cs="Calibri" w:eastAsia="Calibri" w:hAnsi="Calibri"/>
          <w:sz w:val="21"/>
          <w:szCs w:val="21"/>
        </w:rPr>
        <w:t xml:space="preserve">Las bocas que hoy te compran directo van a pagar más caro por lo mismo. Son franquicias manejadas por terceros: el franquiciado va a notar el aumento y va a saber de dónde viene. Dos efectos:</w:t>
      </w:r>
    </w:p>
    <w:p>
      <w:pPr>
        <w:pStyle w:val="ListParagraph"/>
        <w:numPr>
          <w:ilvl w:val="0"/>
          <w:numId w:val="2"/>
        </w:numPr>
        <w:spacing w:after="90" w:line="276"/>
      </w:pPr>
      <w:r>
        <w:rPr>
          <w:rFonts w:ascii="Calibri" w:cs="Calibri" w:eastAsia="Calibri" w:hAnsi="Calibri"/>
          <w:sz w:val="21"/>
          <w:szCs w:val="21"/>
        </w:rPr>
        <w:t xml:space="preserve">Perdés credibilidad con gente que te conoce y con la que probablemente hagas negocios en otro momento o en otra categoría.</w:t>
      </w:r>
    </w:p>
    <w:p>
      <w:pPr>
        <w:pStyle w:val="ListParagraph"/>
        <w:numPr>
          <w:ilvl w:val="0"/>
          <w:numId w:val="2"/>
        </w:numPr>
        <w:spacing w:after="90" w:line="276"/>
      </w:pPr>
      <w:r>
        <w:rPr>
          <w:rFonts w:ascii="Calibri" w:cs="Calibri" w:eastAsia="Calibri" w:hAnsi="Calibri"/>
          <w:sz w:val="21"/>
          <w:szCs w:val="21"/>
        </w:rPr>
        <w:t xml:space="preserve">Cae la venta en esas bocas, porque el precio más alto se traslada a góndola o se reduce el pedido. Con lo cual el volumen incremental que justificaba todo el ejercicio se achica.</w:t>
      </w:r>
    </w:p>
    <w:p>
      <w:pPr>
        <w:pStyle w:val="Heading2"/>
        <w:spacing w:after="110" w:before="220"/>
      </w:pPr>
      <w:r>
        <w:rPr>
          <w:rFonts w:ascii="Calibri" w:cs="Calibri" w:eastAsia="Calibri" w:hAnsi="Calibri"/>
          <w:b/>
          <w:bCs/>
          <w:color w:val="1F3864"/>
          <w:sz w:val="23"/>
          <w:szCs w:val="23"/>
        </w:rPr>
        <w:t xml:space="preserve">5.5 El riesgo de visibilidad</w:t>
      </w:r>
    </w:p>
    <w:p>
      <w:pPr>
        <w:spacing w:after="120" w:line="276"/>
      </w:pPr>
      <w:r>
        <w:rPr>
          <w:rFonts w:ascii="Calibri" w:cs="Calibri" w:eastAsia="Calibri" w:hAnsi="Calibri"/>
          <w:sz w:val="21"/>
          <w:szCs w:val="21"/>
        </w:rPr>
        <w:t xml:space="preserve">Me contaste que el canal nunca dejó de funcionar: los supermercados y kioscos siguieron vendiendo venta libre, las droguerías siguieron proveyendo, y se opera sin mucha bandera. No soy abogado y no voy a opinar sobre tu situación legal. Pero hay un efecto de esta propuesta en particular que sí entra en este análisis, porque es puramente comercial: formalizar aumenta el perfil.</w:t>
      </w:r>
    </w:p>
    <w:p>
      <w:pPr>
        <w:spacing w:after="120" w:line="276"/>
      </w:pPr>
      <w:r>
        <w:rPr>
          <w:rFonts w:ascii="Calibri" w:cs="Calibri" w:eastAsia="Calibri" w:hAnsi="Calibri"/>
          <w:sz w:val="21"/>
          <w:szCs w:val="21"/>
        </w:rPr>
        <w:t xml:space="preserve">Hoy tu operación está dispersa. Varias bocas, varios mayoristas, volúmenes fraccionados, decisiones tuyas y de nadie más. Lo que te proponen concentra todo eso en un solo circuito documentado: remitos a cinco bocas, facturación a un único comprador, volumen agregado, y un tercero que pasa a conocer en detalle qué, cuánto y a quién. Tres consecuencias concretas:</w:t>
      </w:r>
    </w:p>
    <w:p>
      <w:pPr>
        <w:pStyle w:val="ListParagraph"/>
        <w:numPr>
          <w:ilvl w:val="0"/>
          <w:numId w:val="2"/>
        </w:numPr>
        <w:spacing w:after="90" w:line="276"/>
      </w:pPr>
      <w:r>
        <w:rPr>
          <w:rFonts w:ascii="Calibri" w:cs="Calibri" w:eastAsia="Calibri" w:hAnsi="Calibri"/>
          <w:sz w:val="21"/>
          <w:szCs w:val="21"/>
        </w:rPr>
        <w:t xml:space="preserve">Tu nivel de exposición deja de depender solo de vos. Pasa a depender también de cómo opere él, de con quién hable y de qué haga con esa información.</w:t>
      </w:r>
    </w:p>
    <w:p>
      <w:pPr>
        <w:pStyle w:val="ListParagraph"/>
        <w:numPr>
          <w:ilvl w:val="0"/>
          <w:numId w:val="2"/>
        </w:numPr>
        <w:spacing w:after="90" w:line="276"/>
      </w:pPr>
      <w:r>
        <w:rPr>
          <w:rFonts w:ascii="Calibri" w:cs="Calibri" w:eastAsia="Calibri" w:hAnsi="Calibri"/>
          <w:sz w:val="21"/>
          <w:szCs w:val="21"/>
        </w:rPr>
        <w:t xml:space="preserve">Un volumen concentrado y documentado es, por definición, más visible que el mismo volumen disperso.</w:t>
      </w:r>
    </w:p>
    <w:p>
      <w:pPr>
        <w:pStyle w:val="ListParagraph"/>
        <w:numPr>
          <w:ilvl w:val="0"/>
          <w:numId w:val="2"/>
        </w:numPr>
        <w:spacing w:after="90" w:line="276"/>
      </w:pPr>
      <w:r>
        <w:rPr>
          <w:rFonts w:ascii="Calibri" w:cs="Calibri" w:eastAsia="Calibri" w:hAnsi="Calibri"/>
          <w:sz w:val="21"/>
          <w:szCs w:val="21"/>
        </w:rPr>
        <w:t xml:space="preserve">Y si la relación se rompe mal, la contraparte queda con un mapa detallado de tu operación, en un rubro donde eso no es un detalle menor.</w:t>
      </w:r>
    </w:p>
    <w:p>
      <w:pPr>
        <w:spacing w:after="120" w:line="276"/>
      </w:pPr>
      <w:r>
        <w:rPr>
          <w:rFonts w:ascii="Calibri" w:cs="Calibri" w:eastAsia="Calibri" w:hAnsi="Calibri"/>
          <w:b/>
          <w:bCs/>
          <w:i w:val="false"/>
          <w:iCs w:val="false"/>
          <w:sz w:val="21"/>
          <w:szCs w:val="21"/>
        </w:rPr>
        <w:t xml:space="preserve">Qué hacer con esto: </w:t>
      </w:r>
      <w:r>
        <w:rPr>
          <w:rFonts w:ascii="Calibri" w:cs="Calibri" w:eastAsia="Calibri" w:hAnsi="Calibri"/>
          <w:b w:val="false"/>
          <w:bCs w:val="false"/>
          <w:i w:val="false"/>
          <w:iCs w:val="false"/>
          <w:sz w:val="21"/>
          <w:szCs w:val="21"/>
        </w:rPr>
        <w:t xml:space="preserve">no es una razón para no hacer el negocio, y menos cuando los números dicen que a 12% conviene. Es una razón para no firmar nada sin entender qué estás firmando. Antes de la firma -no necesariamente antes del viernes- vale una consulta puntual con un abogado que conozca el régimen de la Ley 17.565 y cómo se aplica hoy en Entre Ríos. Frente al tamaño de lo que estás discutiendo, es plata bien gastada.</w:t>
      </w:r>
    </w:p>
    <w:p>
      <w:r>
        <w:br w:type="page"/>
      </w:r>
    </w:p>
    <w:p>
      <w:pPr>
        <w:pStyle w:val="Heading1"/>
        <w:spacing w:after="160" w:before="320"/>
      </w:pPr>
      <w:r>
        <w:rPr>
          <w:rFonts w:ascii="Calibri" w:cs="Calibri" w:eastAsia="Calibri" w:hAnsi="Calibri"/>
          <w:b/>
          <w:bCs/>
          <w:color w:val="1F3864"/>
          <w:sz w:val="28"/>
          <w:szCs w:val="28"/>
        </w:rPr>
        <w:t xml:space="preserve">6. Cuatro escenarios a 18 meses</w:t>
      </w:r>
    </w:p>
    <w:p>
      <w:pPr>
        <w:spacing w:after="120" w:line="276"/>
      </w:pPr>
      <w:r>
        <w:rPr>
          <w:rFonts w:ascii="Calibri" w:cs="Calibri" w:eastAsia="Calibri" w:hAnsi="Calibri"/>
          <w:sz w:val="21"/>
          <w:szCs w:val="21"/>
        </w:rPr>
        <w:t xml:space="preserve">No son predicciones: son las cuatro formas en que esto puede terminar. Cada una tiene una señal temprana que te permite darte cuenta a tiempo.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900"/>
        <w:gridCol w:w="1300"/>
      </w:tblGrid>
      <w:tr>
        <w:trPr>
          <w:tblHeader/>
        </w:trPr>
        <w:tc>
          <w:tcPr>
            <w:tcW w:type="dxa" w:w="19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Escenario</w:t>
            </w:r>
          </w:p>
        </w:tc>
        <w:tc>
          <w:tcPr>
            <w:tcW w:type="dxa" w:w="29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Qué pasa</w:t>
            </w:r>
          </w:p>
        </w:tc>
        <w:tc>
          <w:tcPr>
            <w:tcW w:type="dxa" w:w="29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Señal temprana</w:t>
            </w:r>
          </w:p>
        </w:tc>
        <w:tc>
          <w:tcPr>
            <w:tcW w:type="dxa" w:w="13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Probab.</w:t>
            </w:r>
          </w:p>
        </w:tc>
      </w:tr>
      <w:tr>
        <w:tc>
          <w:tcPr>
            <w:tcW w:type="dxa" w:w="1900"/>
            <w:tcMar>
              <w:top w:type="dxa" w:w="70"/>
              <w:left w:type="dxa" w:w="110"/>
              <w:bottom w:type="dxa" w:w="70"/>
              <w:right w:type="dxa" w:w="110"/>
            </w:tcMar>
          </w:tcPr>
          <w:p>
            <w:pPr>
              <w:spacing w:after="0"/>
            </w:pPr>
            <w:r>
              <w:rPr>
                <w:rFonts w:ascii="Calibri" w:cs="Calibri" w:eastAsia="Calibri" w:hAnsi="Calibri"/>
                <w:b/>
                <w:bCs/>
                <w:sz w:val="19"/>
                <w:szCs w:val="19"/>
              </w:rPr>
              <w:t xml:space="preserve">A. Socio de canal</w:t>
            </w:r>
          </w:p>
        </w:tc>
        <w:tc>
          <w:tcPr>
            <w:tcW w:type="dxa" w:w="29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El volumen crece de verdad, él aporta cobranza y presencia, vos conservás margen razonable y la relación con las bocas.</w:t>
            </w:r>
          </w:p>
        </w:tc>
        <w:tc>
          <w:tcPr>
            <w:tcW w:type="dxa" w:w="29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Acepta compromiso de volumen mínimo por escrito y no pide entrada a depósito.</w:t>
            </w:r>
          </w:p>
        </w:tc>
        <w:tc>
          <w:tcPr>
            <w:tcW w:type="dxa" w:w="13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Baja sin contrato</w:t>
            </w:r>
          </w:p>
        </w:tc>
      </w:tr>
      <w:tr>
        <w:tc>
          <w:tcPr>
            <w:tcW w:type="dxa" w:w="1900"/>
            <w:shd w:fill="F2F2F2"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B. Trabajás el triple por lo mismo</w:t>
            </w:r>
          </w:p>
        </w:tc>
        <w:tc>
          <w:tcPr>
            <w:tcW w:type="dxa" w:w="29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Facturás mucho más y ganás igual. El costo de servir se come el volumen incremental y tu hora rinde un tercio. Es el resultado por defecto si firmás a 10% tal cual.</w:t>
            </w:r>
          </w:p>
        </w:tc>
        <w:tc>
          <w:tcPr>
            <w:tcW w:type="dxa" w:w="29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Tus horas suben y tu resultado no. La facturación crece y el banco no lo nota.</w:t>
            </w:r>
          </w:p>
        </w:tc>
        <w:tc>
          <w:tcPr>
            <w:tcW w:type="dxa" w:w="13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Alta</w:t>
            </w:r>
          </w:p>
        </w:tc>
      </w:tr>
      <w:tr>
        <w:tc>
          <w:tcPr>
            <w:tcW w:type="dxa" w:w="1900"/>
            <w:tcMar>
              <w:top w:type="dxa" w:w="70"/>
              <w:left w:type="dxa" w:w="110"/>
              <w:bottom w:type="dxa" w:w="70"/>
              <w:right w:type="dxa" w:w="110"/>
            </w:tcMar>
          </w:tcPr>
          <w:p>
            <w:pPr>
              <w:spacing w:after="0"/>
            </w:pPr>
            <w:r>
              <w:rPr>
                <w:rFonts w:ascii="Calibri" w:cs="Calibri" w:eastAsia="Calibri" w:hAnsi="Calibri"/>
                <w:b/>
                <w:bCs/>
                <w:sz w:val="19"/>
                <w:szCs w:val="19"/>
              </w:rPr>
              <w:t xml:space="preserve">C. Desintermediación</w:t>
            </w:r>
          </w:p>
        </w:tc>
        <w:tc>
          <w:tcPr>
            <w:tcW w:type="dxa" w:w="29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Aprendió la categoría, juntó volumen y se sentó con el laboratorio. Perdés las 5 bocas, y el know-how ya está afuera.</w:t>
            </w:r>
          </w:p>
        </w:tc>
        <w:tc>
          <w:tcPr>
            <w:tcW w:type="dxa" w:w="29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Pide que la mercadería entre a su depósito. Pregunta por tus proveedores. Pide detalle por SKU.</w:t>
            </w:r>
          </w:p>
        </w:tc>
        <w:tc>
          <w:tcPr>
            <w:tcW w:type="dxa" w:w="13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Media-alta a 12-18 meses</w:t>
            </w:r>
          </w:p>
        </w:tc>
      </w:tr>
      <w:tr>
        <w:tc>
          <w:tcPr>
            <w:tcW w:type="dxa" w:w="1900"/>
            <w:shd w:fill="F2F2F2"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D. Contagio y espiral</w:t>
            </w:r>
          </w:p>
        </w:tc>
        <w:tc>
          <w:tcPr>
            <w:tcW w:type="dxa" w:w="29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Tus otros mayoristas exigen paridad, tu markup se resetea de 12% a 10% de forma permanente -unos $160.700 por mes- y quedás con casi 25% de concentración en un cliente que sabe que dependés de él. Es, por lejos, el escenario más caro.</w:t>
            </w:r>
          </w:p>
        </w:tc>
        <w:tc>
          <w:tcPr>
            <w:tcW w:type="dxa" w:w="29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El primer llamado de otro mayorista preguntando por qué a él le hacés otro precio.</w:t>
            </w:r>
          </w:p>
        </w:tc>
        <w:tc>
          <w:tcPr>
            <w:tcW w:type="dxa" w:w="13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Media, y acumulativa</w:t>
            </w:r>
          </w:p>
        </w:tc>
      </w:tr>
    </w:tbl>
    <w:p>
      <w:pPr>
        <w:spacing w:after="120" w:line="276"/>
      </w:pPr>
      <w:r>
        <w:rPr>
          <w:rFonts w:ascii="Calibri" w:cs="Calibri" w:eastAsia="Calibri" w:hAnsi="Calibri"/>
          <w:i/>
          <w:iCs/>
          <w:sz w:val="19"/>
          <w:szCs w:val="19"/>
        </w:rPr>
        <w:t xml:space="preserve">Nota importante: los escenarios C y D no son excluyentes entre sí, y ninguno de los dos requiere mala fe. Pasan solos si la estructura los habilita.</w:t>
      </w:r>
    </w:p>
    <w:p>
      <w:pPr>
        <w:pStyle w:val="Heading1"/>
        <w:spacing w:after="160" w:before="320"/>
      </w:pPr>
      <w:r>
        <w:rPr>
          <w:rFonts w:ascii="Calibri" w:cs="Calibri" w:eastAsia="Calibri" w:hAnsi="Calibri"/>
          <w:b/>
          <w:bCs/>
          <w:color w:val="1F3864"/>
          <w:sz w:val="28"/>
          <w:szCs w:val="28"/>
        </w:rPr>
        <w:t xml:space="preserve">7. La pregunta que tenés que responder antes del viernes</w:t>
      </w:r>
    </w:p>
    <w:p>
      <w:pPr>
        <w:spacing w:after="120" w:line="276"/>
      </w:pPr>
      <w:r>
        <w:rPr>
          <w:rFonts w:ascii="Calibri" w:cs="Calibri" w:eastAsia="Calibri" w:hAnsi="Calibri"/>
          <w:b/>
          <w:bCs/>
          <w:i w:val="false"/>
          <w:iCs w:val="false"/>
          <w:sz w:val="23"/>
          <w:szCs w:val="23"/>
        </w:rPr>
        <w:t xml:space="preserve">Tu ventaja competitiva, ¿está en el producto o en el servicio?</w:t>
      </w:r>
    </w:p>
    <w:p>
      <w:pPr>
        <w:spacing w:after="120" w:line="276"/>
      </w:pPr>
      <w:r>
        <w:rPr>
          <w:rFonts w:ascii="Calibri" w:cs="Calibri" w:eastAsia="Calibri" w:hAnsi="Calibri"/>
          <w:sz w:val="21"/>
          <w:szCs w:val="21"/>
        </w:rPr>
        <w:t xml:space="preserve">De la respuesta depende toda tu posición negociadora, y solo vos la sabés:</w:t>
      </w:r>
    </w:p>
    <w:p>
      <w:pPr>
        <w:pStyle w:val="ListParagraph"/>
        <w:numPr>
          <w:ilvl w:val="0"/>
          <w:numId w:val="2"/>
        </w:numPr>
        <w:spacing w:after="90" w:line="276"/>
      </w:pPr>
      <w:r>
        <w:rPr>
          <w:rFonts w:ascii="Calibri" w:cs="Calibri" w:eastAsia="Calibri" w:hAnsi="Calibri"/>
          <w:b/>
          <w:bCs/>
          <w:i w:val="false"/>
          <w:iCs w:val="false"/>
          <w:sz w:val="21"/>
          <w:szCs w:val="21"/>
        </w:rPr>
        <w:t xml:space="preserve">Si tenés representación, exclusividad zonal o una relación preferencial con el laboratorio: </w:t>
      </w:r>
      <w:r>
        <w:rPr>
          <w:rFonts w:ascii="Calibri" w:cs="Calibri" w:eastAsia="Calibri" w:hAnsi="Calibri"/>
          <w:b w:val="false"/>
          <w:bCs w:val="false"/>
          <w:i w:val="false"/>
          <w:iCs w:val="false"/>
          <w:sz w:val="21"/>
          <w:szCs w:val="21"/>
        </w:rPr>
        <w:t xml:space="preserve">tu foso es el producto. Él no puede ir por otro lado sin que le cueste caro, y podés negociar duro sin miedo. El costo de romper es de él.</w:t>
      </w:r>
    </w:p>
    <w:p>
      <w:pPr>
        <w:pStyle w:val="ListParagraph"/>
        <w:numPr>
          <w:ilvl w:val="0"/>
          <w:numId w:val="2"/>
        </w:numPr>
        <w:spacing w:after="90" w:line="276"/>
      </w:pPr>
      <w:r>
        <w:rPr>
          <w:rFonts w:ascii="Calibri" w:cs="Calibri" w:eastAsia="Calibri" w:hAnsi="Calibri"/>
          <w:b/>
          <w:bCs/>
          <w:i w:val="false"/>
          <w:iCs w:val="false"/>
          <w:sz w:val="21"/>
          <w:szCs w:val="21"/>
        </w:rPr>
        <w:t xml:space="preserve">Si cualquiera puede comprar lo mismo que vos y tu diferencial es el conocimiento del canal y la capilaridad: </w:t>
      </w:r>
      <w:r>
        <w:rPr>
          <w:rFonts w:ascii="Calibri" w:cs="Calibri" w:eastAsia="Calibri" w:hAnsi="Calibri"/>
          <w:b w:val="false"/>
          <w:bCs w:val="false"/>
          <w:i w:val="false"/>
          <w:iCs w:val="false"/>
          <w:sz w:val="21"/>
          <w:szCs w:val="21"/>
        </w:rPr>
        <w:t xml:space="preserve">tu foso es el servicio, y es un foso que se seca en cuanto se lo enseñás. En ese caso la única estructura viable es la de fee de servicio, y con plazos cortos.</w:t>
      </w:r>
    </w:p>
    <w:p>
      <w:pPr>
        <w:spacing w:after="120" w:line="276"/>
      </w:pPr>
      <w:r>
        <w:rPr>
          <w:rFonts w:ascii="Calibri" w:cs="Calibri" w:eastAsia="Calibri" w:hAnsi="Calibri"/>
          <w:sz w:val="21"/>
          <w:szCs w:val="21"/>
        </w:rPr>
        <w:t xml:space="preserve">Escribí la respuesta en un papel antes de entrar. Es la diferencia entre ir a negociar y ir a que te negocien.</w:t>
      </w:r>
    </w:p>
    <w:p>
      <w:pPr>
        <w:pStyle w:val="Heading1"/>
        <w:spacing w:after="160" w:before="320"/>
      </w:pPr>
      <w:r>
        <w:rPr>
          <w:rFonts w:ascii="Calibri" w:cs="Calibri" w:eastAsia="Calibri" w:hAnsi="Calibri"/>
          <w:b/>
          <w:bCs/>
          <w:color w:val="1F3864"/>
          <w:sz w:val="28"/>
          <w:szCs w:val="28"/>
        </w:rPr>
        <w:t xml:space="preserve">8. Contraofertas, en orden de preferencia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500"/>
        <w:gridCol w:w="2600"/>
      </w:tblGrid>
      <w:tr>
        <w:trPr>
          <w:tblHeader/>
        </w:trPr>
        <w:tc>
          <w:tcPr>
            <w:tcW w:type="dxa" w:w="7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32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Estructura</w:t>
            </w:r>
          </w:p>
        </w:tc>
        <w:tc>
          <w:tcPr>
            <w:tcW w:type="dxa" w:w="25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Qué gano</w:t>
            </w:r>
          </w:p>
        </w:tc>
        <w:tc>
          <w:tcPr>
            <w:tcW w:type="dxa" w:w="26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Qué le ofrezco a él</w:t>
            </w:r>
          </w:p>
        </w:tc>
      </w:tr>
      <w:tr>
        <w:tc>
          <w:tcPr>
            <w:tcW w:type="dxa" w:w="700"/>
            <w:tcMar>
              <w:top w:type="dxa" w:w="70"/>
              <w:left w:type="dxa" w:w="110"/>
              <w:bottom w:type="dxa" w:w="70"/>
              <w:right w:type="dxa" w:w="110"/>
            </w:tcMar>
          </w:tcPr>
          <w:p>
            <w:pPr>
              <w:spacing w:after="0"/>
            </w:pPr>
            <w:r>
              <w:rPr>
                <w:rFonts w:ascii="Calibri" w:cs="Calibri" w:eastAsia="Calibri" w:hAnsi="Calibri"/>
                <w:b/>
                <w:bCs/>
                <w:sz w:val="19"/>
                <w:szCs w:val="19"/>
              </w:rPr>
              <w:t xml:space="preserve">A</w:t>
            </w:r>
          </w:p>
        </w:tc>
        <w:tc>
          <w:tcPr>
            <w:tcW w:type="dxa" w:w="32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Producto a mi markup mayorista pleno (12%) + servicio de reposición facturado aparte: $62.500 por boca por mes, o $15.600 por entrega.</w:t>
            </w:r>
          </w:p>
        </w:tc>
        <w:tc>
          <w:tcPr>
            <w:tcW w:type="dxa" w:w="25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$499.000/mes: casi 4x lo de hoy. Y no muevo mi lista, así que no hay contagio.</w:t>
            </w:r>
          </w:p>
        </w:tc>
        <w:tc>
          <w:tcPr>
            <w:tcW w:type="dxa" w:w="26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Un servicio de reposición capilar que hoy no puede prestar, sin tocar el precio al que le vende a sus bocas.</w:t>
            </w:r>
          </w:p>
        </w:tc>
      </w:tr>
      <w:tr>
        <w:tc>
          <w:tcPr>
            <w:tcW w:type="dxa" w:w="700"/>
            <w:shd w:fill="F2F2F2"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B</w:t>
            </w:r>
          </w:p>
        </w:tc>
        <w:tc>
          <w:tcPr>
            <w:tcW w:type="dxa" w:w="32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Producto a 12% pleno, sin fee, yo pongo el reparto.</w:t>
            </w:r>
          </w:p>
        </w:tc>
        <w:tc>
          <w:tcPr>
            <w:tcW w:type="dxa" w:w="25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$186.500/mes: $60.700 más que hoy. Simple, rápido de cerrar y sin contagio.</w:t>
            </w:r>
          </w:p>
        </w:tc>
        <w:tc>
          <w:tcPr>
            <w:tcW w:type="dxa" w:w="26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Consigue las 5 bocas atendidas y no paga nada extra. Es una concesión real de mi parte.</w:t>
            </w:r>
          </w:p>
        </w:tc>
      </w:tr>
      <w:tr>
        <w:tc>
          <w:tcPr>
            <w:tcW w:type="dxa" w:w="700"/>
            <w:tcMar>
              <w:top w:type="dxa" w:w="70"/>
              <w:left w:type="dxa" w:w="110"/>
              <w:bottom w:type="dxa" w:w="70"/>
              <w:right w:type="dxa" w:w="110"/>
            </w:tcMar>
          </w:tcPr>
          <w:p>
            <w:pPr>
              <w:spacing w:after="0"/>
            </w:pPr>
            <w:r>
              <w:rPr>
                <w:rFonts w:ascii="Calibri" w:cs="Calibri" w:eastAsia="Calibri" w:hAnsi="Calibri"/>
                <w:b/>
                <w:bCs/>
                <w:sz w:val="19"/>
                <w:szCs w:val="19"/>
              </w:rPr>
              <w:t xml:space="preserve">C</w:t>
            </w:r>
          </w:p>
        </w:tc>
        <w:tc>
          <w:tcPr>
            <w:tcW w:type="dxa" w:w="32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Sigo facturando yo directo a los 5 supermercados; él cobra un override por gestionar la relación.</w:t>
            </w:r>
          </w:p>
        </w:tc>
        <w:tc>
          <w:tcPr>
            <w:tcW w:type="dxa" w:w="25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Conservo la relación con las bocas y el precio. El riesgo de cobranza se reparte.</w:t>
            </w:r>
          </w:p>
        </w:tc>
        <w:tc>
          <w:tcPr>
            <w:tcW w:type="dxa" w:w="2600"/>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Ingreso sin inmovilizar capital ni asumir logística.</w:t>
            </w:r>
          </w:p>
        </w:tc>
      </w:tr>
      <w:tr>
        <w:tc>
          <w:tcPr>
            <w:tcW w:type="dxa" w:w="700"/>
            <w:shd w:fill="F2F2F2"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D</w:t>
            </w:r>
          </w:p>
        </w:tc>
        <w:tc>
          <w:tcPr>
            <w:tcW w:type="dxa" w:w="32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Si insiste con los 2 puntos: aplican solo sobre el volumen que supere una base mensual comprometida por escrito.</w:t>
            </w:r>
          </w:p>
        </w:tc>
        <w:tc>
          <w:tcPr>
            <w:tcW w:type="dxa" w:w="25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El descuento se paga con volumen real, no con mi margen actual.</w:t>
            </w:r>
          </w:p>
        </w:tc>
        <w:tc>
          <w:tcPr>
            <w:tcW w:type="dxa" w:w="2600"/>
            <w:shd w:fill="F2F2F2"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Consigue su 10%, y lo consigue creciendo.</w:t>
            </w:r>
          </w:p>
        </w:tc>
      </w:tr>
    </w:tbl>
    <w:p>
      <w:pPr>
        <w:pStyle w:val="Heading2"/>
        <w:spacing w:after="110" w:before="220"/>
      </w:pPr>
      <w:r>
        <w:rPr>
          <w:rFonts w:ascii="Calibri" w:cs="Calibri" w:eastAsia="Calibri" w:hAnsi="Calibri"/>
          <w:b/>
          <w:bCs/>
          <w:color w:val="1F3864"/>
          <w:sz w:val="23"/>
          <w:szCs w:val="23"/>
        </w:rPr>
        <w:t xml:space="preserve">Zona de aterrizaje</w:t>
      </w:r>
    </w:p>
    <w:p>
      <w:pPr>
        <w:spacing w:after="120" w:line="276"/>
      </w:pPr>
      <w:r>
        <w:rPr>
          <w:rFonts w:ascii="Calibri" w:cs="Calibri" w:eastAsia="Calibri" w:hAnsi="Calibri"/>
          <w:sz w:val="21"/>
          <w:szCs w:val="21"/>
        </w:rPr>
        <w:t xml:space="preserve">Conviene entrar sabiendo dónde querés terminar. Pedís A. Si empuja, cedés a B. Tu piso duro es 10,58%, que es donde empatás con hoy: por debajo de eso estás pagando por trabajar. Entre 11% y 11,5% hay una franja cómoda donde el negocio te deja entre $143.000 y $165.000 por mes y él siente que ganó algo. Ese es un cierre razonable.</w:t>
      </w:r>
    </w:p>
    <w:p>
      <w:pPr>
        <w:spacing w:after="100" w:line="276"/>
      </w:pPr>
      <w:r>
        <w:rPr>
          <w:rFonts w:ascii="Calibri" w:cs="Calibri" w:eastAsia="Calibri" w:hAnsi="Calibri"/>
          <w:sz w:val="21"/>
          <w:szCs w:val="21"/>
        </w:rPr>
        <w:t xml:space="preserve">Y la forma de presentarlo, que no suena a rechazo:</w:t>
      </w:r>
    </w:p>
    <w:p>
      <w:pPr>
        <w:shd w:fill="F2F2F2" w:color="auto" w:val="clear"/>
        <w:spacing w:after="120" w:line="276"/>
        <w:ind w:left="504"/>
      </w:pPr>
      <w:r>
        <w:rPr>
          <w:rFonts w:ascii="Calibri" w:cs="Calibri" w:eastAsia="Calibri" w:hAnsi="Calibri"/>
          <w:i/>
          <w:iCs/>
          <w:sz w:val="21"/>
          <w:szCs w:val="21"/>
        </w:rPr>
        <w:t xml:space="preserve">"El negocio me interesa y quiero hacerlo. El precio te lo hago igual que a cualquier mayorista, mi 12%, no te puedo hacer menos que a los demás porque después no lo puedo sostener con nadie. Lo que sí podemos armar aparte es el reparto: eso me cuesta plata todas las semanas y hoy no lo estoy cobrando. Dividámoslo en dos: la mercadería a precio de lista mayorista y la reposición facturada por separado. Así vos sabés cuánto te cuesta cada cosa y yo sé cuánto me cuesta prestártela."</w:t>
      </w:r>
    </w:p>
    <w:p>
      <w:pPr>
        <w:pStyle w:val="Heading1"/>
        <w:spacing w:after="160" w:before="320"/>
      </w:pPr>
      <w:r>
        <w:rPr>
          <w:rFonts w:ascii="Calibri" w:cs="Calibri" w:eastAsia="Calibri" w:hAnsi="Calibri"/>
          <w:b/>
          <w:bCs/>
          <w:color w:val="1F3864"/>
          <w:sz w:val="28"/>
          <w:szCs w:val="28"/>
        </w:rPr>
        <w:t xml:space="preserve">9. Líneas rojas</w:t>
      </w:r>
    </w:p>
    <w:p>
      <w:pPr>
        <w:spacing w:after="120" w:line="276"/>
      </w:pPr>
      <w:r>
        <w:rPr>
          <w:rFonts w:ascii="Calibri" w:cs="Calibri" w:eastAsia="Calibri" w:hAnsi="Calibri"/>
          <w:sz w:val="21"/>
          <w:szCs w:val="21"/>
        </w:rPr>
        <w:t xml:space="preserve">Definidas antes de entrar. Una línea roja que se decide adentro de la reunión no es una línea roja.</w:t>
      </w:r>
    </w:p>
    <w:p>
      <w:pPr>
        <w:pStyle w:val="ListParagraph"/>
        <w:numPr>
          <w:ilvl w:val="0"/>
          <w:numId w:val="3"/>
        </w:numPr>
        <w:spacing w:after="90" w:line="276"/>
      </w:pPr>
      <w:r>
        <w:rPr>
          <w:rFonts w:ascii="Calibri" w:cs="Calibri" w:eastAsia="Calibri" w:hAnsi="Calibri"/>
          <w:sz w:val="21"/>
          <w:szCs w:val="21"/>
        </w:rPr>
        <w:t xml:space="preserve">Precio: nada por debajo de 10,58% de markup, que es donde empatás con lo que ganás hoy. Recalcular con tu costo de servir real antes del viernes, porque ese número mueve el piso.</w:t>
      </w:r>
    </w:p>
    <w:p>
      <w:pPr>
        <w:pStyle w:val="ListParagraph"/>
        <w:numPr>
          <w:ilvl w:val="0"/>
          <w:numId w:val="3"/>
        </w:numPr>
        <w:spacing w:after="90" w:line="276"/>
      </w:pPr>
      <w:r>
        <w:rPr>
          <w:rFonts w:ascii="Calibri" w:cs="Calibri" w:eastAsia="Calibri" w:hAnsi="Calibri"/>
          <w:sz w:val="21"/>
          <w:szCs w:val="21"/>
        </w:rPr>
        <w:t xml:space="preserve">Nada de "dos puntos por debajo del mejor markup que le hagas a cualquiera". Si hay referencia de precio, acotada a mismo SKU, mismo volumen, misma condición de pago y mismo período, y sin castigo. Esa cláusula sola vale más que toda la operación.</w:t>
      </w:r>
    </w:p>
    <w:p>
      <w:pPr>
        <w:pStyle w:val="ListParagraph"/>
        <w:numPr>
          <w:ilvl w:val="0"/>
          <w:numId w:val="3"/>
        </w:numPr>
        <w:spacing w:after="90" w:line="276"/>
      </w:pPr>
      <w:r>
        <w:rPr>
          <w:rFonts w:ascii="Calibri" w:cs="Calibri" w:eastAsia="Calibri" w:hAnsi="Calibri"/>
          <w:sz w:val="21"/>
          <w:szCs w:val="21"/>
        </w:rPr>
        <w:t xml:space="preserve">Sin exclusividad si no hay compromiso de volumen mensual mínimo y plazo definido. La exclusividad sin volumen es una opción gratis que le regalás.</w:t>
      </w:r>
    </w:p>
    <w:p>
      <w:pPr>
        <w:pStyle w:val="ListParagraph"/>
        <w:numPr>
          <w:ilvl w:val="0"/>
          <w:numId w:val="3"/>
        </w:numPr>
        <w:spacing w:after="90" w:line="276"/>
      </w:pPr>
      <w:r>
        <w:rPr>
          <w:rFonts w:ascii="Calibri" w:cs="Calibri" w:eastAsia="Calibri" w:hAnsi="Calibri"/>
          <w:sz w:val="21"/>
          <w:szCs w:val="21"/>
        </w:rPr>
        <w:t xml:space="preserve">Pago a 15 días, con suspensión automática de entregas al día 20 de atraso. Sin consignación y sin devoluciones abiertas.</w:t>
      </w:r>
    </w:p>
    <w:p>
      <w:pPr>
        <w:pStyle w:val="ListParagraph"/>
        <w:numPr>
          <w:ilvl w:val="0"/>
          <w:numId w:val="3"/>
        </w:numPr>
        <w:spacing w:after="90" w:line="276"/>
      </w:pPr>
      <w:r>
        <w:rPr>
          <w:rFonts w:ascii="Calibri" w:cs="Calibri" w:eastAsia="Calibri" w:hAnsi="Calibri"/>
          <w:sz w:val="21"/>
          <w:szCs w:val="21"/>
        </w:rPr>
        <w:t xml:space="preserve">No entregás datos de rotación por SKU, surtido recomendado, estructura de proveedores ni costos. Servicio sí, inteligencia no.</w:t>
      </w:r>
    </w:p>
    <w:p>
      <w:pPr>
        <w:pStyle w:val="ListParagraph"/>
        <w:numPr>
          <w:ilvl w:val="0"/>
          <w:numId w:val="3"/>
        </w:numPr>
        <w:spacing w:after="90" w:line="276"/>
      </w:pPr>
      <w:r>
        <w:rPr>
          <w:rFonts w:ascii="Calibri" w:cs="Calibri" w:eastAsia="Calibri" w:hAnsi="Calibri"/>
          <w:sz w:val="21"/>
          <w:szCs w:val="21"/>
        </w:rPr>
        <w:t xml:space="preserve">No cedés las bocas que hoy te compran directo sin compensación explícita y cuantificada.</w:t>
      </w:r>
    </w:p>
    <w:p>
      <w:pPr>
        <w:pStyle w:val="ListParagraph"/>
        <w:numPr>
          <w:ilvl w:val="0"/>
          <w:numId w:val="3"/>
        </w:numPr>
        <w:spacing w:after="90" w:line="276"/>
      </w:pPr>
      <w:r>
        <w:rPr>
          <w:rFonts w:ascii="Calibri" w:cs="Calibri" w:eastAsia="Calibri" w:hAnsi="Calibri"/>
          <w:sz w:val="21"/>
          <w:szCs w:val="21"/>
        </w:rPr>
        <w:t xml:space="preserve">Todo por escrito, con plazo de vigencia y forma de salida. Con alguien de quien te dicen que es avasallador, lo verbal no existe.</w:t>
      </w:r>
    </w:p>
    <w:p>
      <w:pPr>
        <w:pStyle w:val="ListParagraph"/>
        <w:numPr>
          <w:ilvl w:val="0"/>
          <w:numId w:val="3"/>
        </w:numPr>
        <w:spacing w:after="90" w:line="276"/>
      </w:pPr>
      <w:r>
        <w:rPr>
          <w:rFonts w:ascii="Calibri" w:cs="Calibri" w:eastAsia="Calibri" w:hAnsi="Calibri"/>
          <w:sz w:val="21"/>
          <w:szCs w:val="21"/>
        </w:rPr>
        <w:t xml:space="preserve">Plazo inicial corto: 90 días renovables. La renovación es tu única palanca real una vez que arrancaste.</w:t>
      </w:r>
    </w:p>
    <w:p>
      <w:pPr>
        <w:pStyle w:val="ListParagraph"/>
        <w:numPr>
          <w:ilvl w:val="0"/>
          <w:numId w:val="3"/>
        </w:numPr>
        <w:spacing w:after="90" w:line="276"/>
      </w:pPr>
      <w:r>
        <w:rPr>
          <w:rFonts w:ascii="Calibri" w:cs="Calibri" w:eastAsia="Calibri" w:hAnsi="Calibri"/>
          <w:sz w:val="21"/>
          <w:szCs w:val="21"/>
        </w:rPr>
        <w:t xml:space="preserve">No firmar ningún acuerdo escrito de volumen o exclusividad sin haberlo consultado antes con un abogado, por lo que se explica en el punto 5.5.</w:t>
      </w:r>
    </w:p>
    <w:p>
      <w:pPr>
        <w:pStyle w:val="Heading1"/>
        <w:spacing w:after="160" w:before="320"/>
      </w:pPr>
      <w:r>
        <w:rPr>
          <w:rFonts w:ascii="Calibri" w:cs="Calibri" w:eastAsia="Calibri" w:hAnsi="Calibri"/>
          <w:b/>
          <w:bCs/>
          <w:color w:val="1F3864"/>
          <w:sz w:val="28"/>
          <w:szCs w:val="28"/>
        </w:rPr>
        <w:t xml:space="preserve">10. Guion de la reunión</w:t>
      </w:r>
    </w:p>
    <w:p>
      <w:pPr>
        <w:pStyle w:val="Heading2"/>
        <w:spacing w:after="110" w:before="220"/>
      </w:pPr>
      <w:r>
        <w:rPr>
          <w:rFonts w:ascii="Calibri" w:cs="Calibri" w:eastAsia="Calibri" w:hAnsi="Calibri"/>
          <w:b/>
          <w:bCs/>
          <w:color w:val="1F3864"/>
          <w:sz w:val="23"/>
          <w:szCs w:val="23"/>
        </w:rPr>
        <w:t xml:space="preserve">10.1 Cómo abrir</w:t>
      </w:r>
    </w:p>
    <w:p>
      <w:pPr>
        <w:spacing w:after="120" w:line="276"/>
      </w:pPr>
      <w:r>
        <w:rPr>
          <w:rFonts w:ascii="Calibri" w:cs="Calibri" w:eastAsia="Calibri" w:hAnsi="Calibri"/>
          <w:sz w:val="21"/>
          <w:szCs w:val="21"/>
        </w:rPr>
        <w:t xml:space="preserve">No abras con el precio. Si arrancás discutiendo el 2%, ya aceptaste su marco. Abrí pidiendo el plan completo: "Contame cómo lo ves en grande. ¿Qué querés armar con la categoría?" Cuanto más hable él, más información tenés y menos comprometido quedás.</w:t>
      </w:r>
    </w:p>
    <w:p>
      <w:pPr>
        <w:spacing w:after="120" w:line="276"/>
      </w:pPr>
      <w:r>
        <w:rPr>
          <w:rFonts w:ascii="Calibri" w:cs="Calibri" w:eastAsia="Calibri" w:hAnsi="Calibri"/>
          <w:sz w:val="21"/>
          <w:szCs w:val="21"/>
        </w:rPr>
        <w:t xml:space="preserve">Tu objetivo del viernes no es cerrar. Es salir con dos cosas: la propuesta completa y una lectura de hasta dónde piensa llegar. Decilo desde el arranque, en tono normal: "Vengo a escuchar todo. Las decisiones de precio de lista no las tomo en una reunión, te las contesto la semana que viene con números." Dicho al principio no es una excusa; dicho al final suena a que estás escapando.</w:t>
      </w:r>
    </w:p>
    <w:p>
      <w:pPr>
        <w:pStyle w:val="Heading2"/>
        <w:spacing w:after="110" w:before="220"/>
      </w:pPr>
      <w:r>
        <w:rPr>
          <w:rFonts w:ascii="Calibri" w:cs="Calibri" w:eastAsia="Calibri" w:hAnsi="Calibri"/>
          <w:b/>
          <w:bCs/>
          <w:color w:val="1F3864"/>
          <w:sz w:val="23"/>
          <w:szCs w:val="23"/>
        </w:rPr>
        <w:t xml:space="preserve">10.2 Ocho preguntas para hacerle</w:t>
      </w:r>
    </w:p>
    <w:p>
      <w:pPr>
        <w:spacing w:after="120" w:line="276"/>
      </w:pPr>
      <w:r>
        <w:rPr>
          <w:rFonts w:ascii="Calibri" w:cs="Calibri" w:eastAsia="Calibri" w:hAnsi="Calibri"/>
          <w:sz w:val="21"/>
          <w:szCs w:val="21"/>
        </w:rPr>
        <w:t xml:space="preserve">Estas preguntas trabajan para vos aunque no las conteste. Mirá cómo responde, no solo qué responde.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Pregunta</w:t>
            </w:r>
          </w:p>
        </w:tc>
        <w:tc>
          <w:tcPr>
            <w:tcW w:type="dxa" w:w="4700"/>
            <w:shd w:fill="1F3864"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Qué te dice la respuesta</w:t>
            </w:r>
          </w:p>
        </w:tc>
      </w:tr>
      <w:tr>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¿Por qué querés entrar en esta categoría justo ahora?</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Si menciona el crecimiento del universo de venta libre o una eventual apertura del canal, tiene plan de largo plazo y el riesgo de bypass es alto.</w:t>
            </w:r>
          </w:p>
        </w:tc>
      </w:tr>
      <w:tr>
        <w:tc>
          <w:tcPr>
            <w:tcW w:type="dxa" w:w="43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¿La línea la vas a incorporar a tu depósito o solo canalizás mis entregas?</w:t>
            </w:r>
          </w:p>
        </w:tc>
        <w:tc>
          <w:tcPr>
            <w:tcW w:type="dxa" w:w="47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Si contesta depósito, la desintermediación ya está en el plan.</w:t>
            </w:r>
          </w:p>
        </w:tc>
      </w:tr>
      <w:tr>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¿Ya hablaste con laboratorios o importadores?</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La pregunta más incómoda y la más útil. Mirá la reacción, no la respuesta.</w:t>
            </w:r>
          </w:p>
        </w:tc>
      </w:tr>
      <w:tr>
        <w:tc>
          <w:tcPr>
            <w:tcW w:type="dxa" w:w="43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¿Qué pasa con las bocas que hoy me compran directo? ¿Cómo les explicás que van a pagar más caro?</w:t>
            </w:r>
          </w:p>
        </w:tc>
        <w:tc>
          <w:tcPr>
            <w:tcW w:type="dxa" w:w="47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Si no lo pensó, no pensó la operación. Si lo pensó y no te lo dijo, ya sabés con quién estás tratando.</w:t>
            </w:r>
          </w:p>
        </w:tc>
      </w:tr>
      <w:tr>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¿Qué volumen mensual te comprometés a sostener?</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Sin compromiso de volumen no hay descuento que se justifique. Es la contrapartida natural del precio.</w:t>
            </w:r>
          </w:p>
        </w:tc>
      </w:tr>
      <w:tr>
        <w:tc>
          <w:tcPr>
            <w:tcW w:type="dxa" w:w="43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¿Esto es exclusivo? ¿En qué dirección?</w:t>
            </w:r>
          </w:p>
        </w:tc>
        <w:tc>
          <w:tcPr>
            <w:tcW w:type="dxa" w:w="47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Muchas veces la exclusividad se asume sin decirse. Mejor que se diga.</w:t>
            </w:r>
          </w:p>
        </w:tc>
      </w:tr>
      <w:tr>
        <w:tc>
          <w:tcPr>
            <w:tcW w:type="dxa" w:w="4300"/>
            <w:tcMar>
              <w:top w:type="dxa" w:w="70"/>
              <w:left w:type="dxa" w:w="110"/>
              <w:bottom w:type="dxa" w:w="70"/>
              <w:right w:type="dxa" w:w="110"/>
            </w:tcMar>
          </w:tcPr>
          <w:p>
            <w:pPr>
              <w:spacing w:after="0"/>
            </w:pPr>
            <w:r>
              <w:rPr>
                <w:rFonts w:ascii="Calibri" w:cs="Calibri" w:eastAsia="Calibri" w:hAnsi="Calibri"/>
                <w:sz w:val="19"/>
                <w:szCs w:val="19"/>
              </w:rPr>
              <w:t xml:space="preserve">¿Quién se queda con el riesgo de cobranza de los 5 supermercados?</w:t>
            </w:r>
          </w:p>
        </w:tc>
        <w:tc>
          <w:tcPr>
            <w:tcW w:type="dxa" w:w="4700"/>
            <w:tcMar>
              <w:top w:type="dxa" w:w="70"/>
              <w:left w:type="dxa" w:w="110"/>
              <w:bottom w:type="dxa" w:w="70"/>
              <w:right w:type="dxa" w:w="110"/>
            </w:tcMar>
          </w:tcPr>
          <w:p>
            <w:pPr>
              <w:spacing w:after="0"/>
            </w:pPr>
            <w:r>
              <w:rPr>
                <w:rFonts w:ascii="Calibri" w:cs="Calibri" w:eastAsia="Calibri" w:hAnsi="Calibri"/>
                <w:sz w:val="19"/>
                <w:szCs w:val="19"/>
              </w:rPr>
              <w:t xml:space="preserve">Él cobra de ellos y vos de él: estás financiando su operación, no la tuya.</w:t>
            </w:r>
          </w:p>
        </w:tc>
      </w:tr>
      <w:tr>
        <w:tc>
          <w:tcPr>
            <w:tcW w:type="dxa" w:w="43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Si a los seis meses no funciona, ¿cómo salimos?</w:t>
            </w:r>
          </w:p>
        </w:tc>
        <w:tc>
          <w:tcPr>
            <w:tcW w:type="dxa" w:w="4700"/>
            <w:shd w:fill="F2F2F2" w:color="auto" w:val="clear"/>
            <w:tcMar>
              <w:top w:type="dxa" w:w="70"/>
              <w:left w:type="dxa" w:w="110"/>
              <w:bottom w:type="dxa" w:w="70"/>
              <w:right w:type="dxa" w:w="110"/>
            </w:tcMar>
          </w:tcPr>
          <w:p>
            <w:pPr>
              <w:spacing w:after="0"/>
            </w:pPr>
            <w:r>
              <w:rPr>
                <w:rFonts w:ascii="Calibri" w:cs="Calibri" w:eastAsia="Calibri" w:hAnsi="Calibri"/>
                <w:sz w:val="19"/>
                <w:szCs w:val="19"/>
              </w:rPr>
              <w:t xml:space="preserve">Alguien que no quiere hablar de la salida es alguien que planea que no la haya.</w:t>
            </w:r>
          </w:p>
        </w:tc>
      </w:tr>
    </w:tbl>
    <w:p>
      <w:pPr>
        <w:pStyle w:val="Heading2"/>
        <w:spacing w:after="110" w:before="220"/>
      </w:pPr>
      <w:r>
        <w:rPr>
          <w:rFonts w:ascii="Calibri" w:cs="Calibri" w:eastAsia="Calibri" w:hAnsi="Calibri"/>
          <w:b/>
          <w:bCs/>
          <w:color w:val="1F3864"/>
          <w:sz w:val="23"/>
          <w:szCs w:val="23"/>
        </w:rPr>
        <w:t xml:space="preserve">10.3 Qué esperar de alguien avasallador, y cómo responder</w:t>
      </w:r>
    </w:p>
    <w:p>
      <w:pPr>
        <w:spacing w:after="120" w:line="276"/>
      </w:pPr>
      <w:r>
        <w:rPr>
          <w:rFonts w:ascii="Calibri" w:cs="Calibri" w:eastAsia="Calibri" w:hAnsi="Calibri"/>
          <w:sz w:val="21"/>
          <w:szCs w:val="21"/>
        </w:rPr>
        <w:t xml:space="preserve">No tenés pruebas de hasta dónde puede llegar, y esa incertidumbre se resuelve de una sola forma: probándolo barato. Un piloto de 90 días es exactamente eso: un test de carácter con costo acotado. Mientras tanto, estas son las jugadas típicas y su respuesta:</w:t>
      </w:r>
    </w:p>
    <w:p>
      <w:pPr>
        <w:pStyle w:val="ListParagraph"/>
        <w:numPr>
          <w:ilvl w:val="0"/>
          <w:numId w:val="2"/>
        </w:numPr>
        <w:spacing w:after="90" w:line="276"/>
      </w:pPr>
      <w:r>
        <w:rPr>
          <w:rFonts w:ascii="Calibri" w:cs="Calibri" w:eastAsia="Calibri" w:hAnsi="Calibri"/>
          <w:b/>
          <w:bCs/>
          <w:i w:val="false"/>
          <w:iCs w:val="false"/>
          <w:sz w:val="21"/>
          <w:szCs w:val="21"/>
        </w:rPr>
        <w:t xml:space="preserve">Ancla baja desde el minuto uno. </w:t>
      </w:r>
      <w:r>
        <w:rPr>
          <w:rFonts w:ascii="Calibri" w:cs="Calibri" w:eastAsia="Calibri" w:hAnsi="Calibri"/>
          <w:b w:val="false"/>
          <w:bCs w:val="false"/>
          <w:i w:val="false"/>
          <w:iCs w:val="false"/>
          <w:sz w:val="21"/>
          <w:szCs w:val="21"/>
        </w:rPr>
        <w:t xml:space="preserve">Tira el número más bajo posible para que todo lo que sigue parezca una concesión suya. Respuesta: no negocies sobre su ancla. Reencuadrá: "son dos negocios distintos, el producto y el reparto; discutámoslos por separado".</w:t>
      </w:r>
    </w:p>
    <w:p>
      <w:pPr>
        <w:pStyle w:val="ListParagraph"/>
        <w:numPr>
          <w:ilvl w:val="0"/>
          <w:numId w:val="2"/>
        </w:numPr>
        <w:spacing w:after="90" w:line="276"/>
      </w:pPr>
      <w:r>
        <w:rPr>
          <w:rFonts w:ascii="Calibri" w:cs="Calibri" w:eastAsia="Calibri" w:hAnsi="Calibri"/>
          <w:b/>
          <w:bCs/>
          <w:i w:val="false"/>
          <w:iCs w:val="false"/>
          <w:sz w:val="21"/>
          <w:szCs w:val="21"/>
        </w:rPr>
        <w:t xml:space="preserve">Presion de tiempo. </w:t>
      </w:r>
      <w:r>
        <w:rPr>
          <w:rFonts w:ascii="Calibri" w:cs="Calibri" w:eastAsia="Calibri" w:hAnsi="Calibri"/>
          <w:b w:val="false"/>
          <w:bCs w:val="false"/>
          <w:i w:val="false"/>
          <w:iCs w:val="false"/>
          <w:sz w:val="21"/>
          <w:szCs w:val="21"/>
        </w:rPr>
        <w:t xml:space="preserve">"Esto lo definimos hoy o no va." Respuesta: "si tiene que ser hoy, entonces es no. No porque no me interese, sino porque no decido precios de lista sin números." Casi siempre sigue disponible el lunes.</w:t>
      </w:r>
    </w:p>
    <w:p>
      <w:pPr>
        <w:pStyle w:val="ListParagraph"/>
        <w:numPr>
          <w:ilvl w:val="0"/>
          <w:numId w:val="2"/>
        </w:numPr>
        <w:spacing w:after="90" w:line="276"/>
      </w:pPr>
      <w:r>
        <w:rPr>
          <w:rFonts w:ascii="Calibri" w:cs="Calibri" w:eastAsia="Calibri" w:hAnsi="Calibri"/>
          <w:b/>
          <w:bCs/>
          <w:i w:val="false"/>
          <w:iCs w:val="false"/>
          <w:sz w:val="21"/>
          <w:szCs w:val="21"/>
        </w:rPr>
        <w:t xml:space="preserve">Amenaza implicita de ir por otro lado. </w:t>
      </w:r>
      <w:r>
        <w:rPr>
          <w:rFonts w:ascii="Calibri" w:cs="Calibri" w:eastAsia="Calibri" w:hAnsi="Calibri"/>
          <w:b w:val="false"/>
          <w:bCs w:val="false"/>
          <w:i w:val="false"/>
          <w:iCs w:val="false"/>
          <w:sz w:val="21"/>
          <w:szCs w:val="21"/>
        </w:rPr>
        <w:t xml:space="preserve">Respuesta: preguntalo en voz alta y tranquila. "¿Estás evaluando traerlo por otro proveedor? Prefiero saberlo hoy." Una amenaza nombrada deja de funcionar como amenaza.</w:t>
      </w:r>
    </w:p>
    <w:p>
      <w:pPr>
        <w:pStyle w:val="ListParagraph"/>
        <w:numPr>
          <w:ilvl w:val="0"/>
          <w:numId w:val="2"/>
        </w:numPr>
        <w:spacing w:after="90" w:line="276"/>
      </w:pPr>
      <w:r>
        <w:rPr>
          <w:rFonts w:ascii="Calibri" w:cs="Calibri" w:eastAsia="Calibri" w:hAnsi="Calibri"/>
          <w:b/>
          <w:bCs/>
          <w:i w:val="false"/>
          <w:iCs w:val="false"/>
          <w:sz w:val="21"/>
          <w:szCs w:val="21"/>
        </w:rPr>
        <w:t xml:space="preserve">Paquete confuso. </w:t>
      </w:r>
      <w:r>
        <w:rPr>
          <w:rFonts w:ascii="Calibri" w:cs="Calibri" w:eastAsia="Calibri" w:hAnsi="Calibri"/>
          <w:b w:val="false"/>
          <w:bCs w:val="false"/>
          <w:i w:val="false"/>
          <w:iCs w:val="false"/>
          <w:sz w:val="21"/>
          <w:szCs w:val="21"/>
        </w:rPr>
        <w:t xml:space="preserve">Mezcla precio, plazo, exclusividad y volumen para que no puedas evaluar nada. Respuesta: "vamos de a una. Primero precio de la mercadería. Después el servicio. Después el plazo."</w:t>
      </w:r>
    </w:p>
    <w:p>
      <w:pPr>
        <w:pStyle w:val="ListParagraph"/>
        <w:numPr>
          <w:ilvl w:val="0"/>
          <w:numId w:val="2"/>
        </w:numPr>
        <w:spacing w:after="90" w:line="276"/>
      </w:pPr>
      <w:r>
        <w:rPr>
          <w:rFonts w:ascii="Calibri" w:cs="Calibri" w:eastAsia="Calibri" w:hAnsi="Calibri"/>
          <w:b/>
          <w:bCs/>
          <w:i w:val="false"/>
          <w:iCs w:val="false"/>
          <w:sz w:val="21"/>
          <w:szCs w:val="21"/>
        </w:rPr>
        <w:t xml:space="preserve">Testeo de límites. </w:t>
      </w:r>
      <w:r>
        <w:rPr>
          <w:rFonts w:ascii="Calibri" w:cs="Calibri" w:eastAsia="Calibri" w:hAnsi="Calibri"/>
          <w:b w:val="false"/>
          <w:bCs w:val="false"/>
          <w:i w:val="false"/>
          <w:iCs w:val="false"/>
          <w:sz w:val="21"/>
          <w:szCs w:val="21"/>
        </w:rPr>
        <w:t xml:space="preserve">Va a pedir algo chico y fuera de lugar temprano, solo para ver cómo reaccionás. Respuesta: un "no" tranquilo, sin enojo y sin explicación larga, sobre algo menor. Es la vacuna más barata que existe.</w:t>
      </w:r>
    </w:p>
    <w:p>
      <w:pPr>
        <w:pStyle w:val="ListParagraph"/>
        <w:numPr>
          <w:ilvl w:val="0"/>
          <w:numId w:val="2"/>
        </w:numPr>
        <w:spacing w:after="90" w:line="276"/>
      </w:pPr>
      <w:r>
        <w:rPr>
          <w:rFonts w:ascii="Calibri" w:cs="Calibri" w:eastAsia="Calibri" w:hAnsi="Calibri"/>
          <w:b/>
          <w:bCs/>
          <w:i w:val="false"/>
          <w:iCs w:val="false"/>
          <w:sz w:val="21"/>
          <w:szCs w:val="21"/>
        </w:rPr>
        <w:t xml:space="preserve">Escalada posterior. </w:t>
      </w:r>
      <w:r>
        <w:rPr>
          <w:rFonts w:ascii="Calibri" w:cs="Calibri" w:eastAsia="Calibri" w:hAnsi="Calibri"/>
          <w:b w:val="false"/>
          <w:bCs w:val="false"/>
          <w:i w:val="false"/>
          <w:iCs w:val="false"/>
          <w:sz w:val="21"/>
          <w:szCs w:val="21"/>
        </w:rPr>
        <w:t xml:space="preserve">El patrón clásico no es el atropello inicial sino el progresivo: arranca cumpliendo y a los meses estira plazos, pide más descuento y exige exclusividad. Respuesta: plazo corto renovable y suspensión automática por atraso. Que la estructura te defienda cuando el vínculo ya no lo haga.</w:t>
      </w:r>
    </w:p>
    <w:p>
      <w:pPr>
        <w:pStyle w:val="Heading2"/>
        <w:spacing w:after="110" w:before="220"/>
      </w:pPr>
      <w:r>
        <w:rPr>
          <w:rFonts w:ascii="Calibri" w:cs="Calibri" w:eastAsia="Calibri" w:hAnsi="Calibri"/>
          <w:b/>
          <w:bCs/>
          <w:color w:val="1F3864"/>
          <w:sz w:val="23"/>
          <w:szCs w:val="23"/>
        </w:rPr>
        <w:t xml:space="preserve">10.4 Cómo cerrar la reunión</w:t>
      </w:r>
    </w:p>
    <w:p>
      <w:pPr>
        <w:spacing w:after="120" w:line="276"/>
      </w:pPr>
      <w:r>
        <w:rPr>
          <w:rFonts w:ascii="Calibri" w:cs="Calibri" w:eastAsia="Calibri" w:hAnsi="Calibri"/>
          <w:sz w:val="21"/>
          <w:szCs w:val="21"/>
        </w:rPr>
        <w:t xml:space="preserve">"Me interesa y creo que hay negocio. Dejame armarlo con numeros y te lo traigo el jueves. Lo que ya te puedo adelantar es que el producto va a mi precio mayorista, y el reparto lo tengo que facturar aparte porque me cuesta plata todas las semanas."</w:t>
      </w:r>
    </w:p>
    <w:p>
      <w:pPr>
        <w:spacing w:after="120" w:line="276"/>
      </w:pPr>
      <w:r>
        <w:rPr>
          <w:rFonts w:ascii="Calibri" w:cs="Calibri" w:eastAsia="Calibri" w:hAnsi="Calibri"/>
          <w:i/>
          <w:iCs/>
          <w:sz w:val="21"/>
          <w:szCs w:val="21"/>
        </w:rPr>
        <w:t xml:space="preserve">Con eso saliste con la relación viva, con la información en la mano, sin haber cedido precio y habiendo plantado la estructura que a vos te sirve.</w:t>
      </w:r>
    </w:p>
    <w:p>
      <w:pPr>
        <w:pStyle w:val="Heading1"/>
        <w:spacing w:after="160" w:before="320"/>
      </w:pPr>
      <w:r>
        <w:rPr>
          <w:rFonts w:ascii="Calibri" w:cs="Calibri" w:eastAsia="Calibri" w:hAnsi="Calibri"/>
          <w:b/>
          <w:bCs/>
          <w:color w:val="1F3864"/>
          <w:sz w:val="28"/>
          <w:szCs w:val="28"/>
        </w:rPr>
        <w:t xml:space="preserve">11. Checklist para el viernes</w:t>
      </w:r>
    </w:p>
    <w:p>
      <w:pPr>
        <w:pStyle w:val="ListParagraph"/>
        <w:numPr>
          <w:ilvl w:val="0"/>
          <w:numId w:val="2"/>
        </w:numPr>
        <w:spacing w:after="90" w:line="276"/>
      </w:pPr>
      <w:r>
        <w:rPr>
          <w:rFonts w:ascii="Calibri" w:cs="Calibri" w:eastAsia="Calibri" w:hAnsi="Calibri"/>
          <w:sz w:val="21"/>
          <w:szCs w:val="21"/>
        </w:rPr>
        <w:t xml:space="preserve">Cronometrar una semana real de reparto para tener el costo de servir de verdad, y cargar en la planilla la facturación real al resto de tus mayoristas. Son los dos números que mueven todo.</w:t>
      </w:r>
    </w:p>
    <w:p>
      <w:pPr>
        <w:pStyle w:val="ListParagraph"/>
        <w:numPr>
          <w:ilvl w:val="0"/>
          <w:numId w:val="2"/>
        </w:numPr>
        <w:spacing w:after="90" w:line="276"/>
      </w:pPr>
      <w:r>
        <w:rPr>
          <w:rFonts w:ascii="Calibri" w:cs="Calibri" w:eastAsia="Calibri" w:hAnsi="Calibri"/>
          <w:sz w:val="21"/>
          <w:szCs w:val="21"/>
        </w:rPr>
        <w:t xml:space="preserve">Anotar tres números y llevarlos escritos en un papel: el markup mínimo recalculado, el fee por boca, y lo que perdés por mes si se contagia el resto del book.</w:t>
      </w:r>
    </w:p>
    <w:p>
      <w:pPr>
        <w:pStyle w:val="ListParagraph"/>
        <w:numPr>
          <w:ilvl w:val="0"/>
          <w:numId w:val="2"/>
        </w:numPr>
        <w:spacing w:after="90" w:line="276"/>
      </w:pPr>
      <w:r>
        <w:rPr>
          <w:rFonts w:ascii="Calibri" w:cs="Calibri" w:eastAsia="Calibri" w:hAnsi="Calibri"/>
          <w:sz w:val="21"/>
          <w:szCs w:val="21"/>
        </w:rPr>
        <w:t xml:space="preserve">Responder por escrito: ¿mi foso es el producto o el servicio?</w:t>
      </w:r>
    </w:p>
    <w:p>
      <w:pPr>
        <w:pStyle w:val="ListParagraph"/>
        <w:numPr>
          <w:ilvl w:val="0"/>
          <w:numId w:val="2"/>
        </w:numPr>
        <w:spacing w:after="90" w:line="276"/>
      </w:pPr>
      <w:r>
        <w:rPr>
          <w:rFonts w:ascii="Calibri" w:cs="Calibri" w:eastAsia="Calibri" w:hAnsi="Calibri"/>
          <w:sz w:val="21"/>
          <w:szCs w:val="21"/>
        </w:rPr>
        <w:t xml:space="preserve">Revisar si tenés representación o exclusividad zonal formalizada con el laboratorio. Si no la tenés y podés gestionarla, es la jugada de mayor retorno de todo este análisis.</w:t>
      </w:r>
    </w:p>
    <w:p>
      <w:pPr>
        <w:pStyle w:val="ListParagraph"/>
        <w:numPr>
          <w:ilvl w:val="0"/>
          <w:numId w:val="2"/>
        </w:numPr>
        <w:spacing w:after="90" w:line="276"/>
      </w:pPr>
      <w:r>
        <w:rPr>
          <w:rFonts w:ascii="Calibri" w:cs="Calibri" w:eastAsia="Calibri" w:hAnsi="Calibri"/>
          <w:sz w:val="21"/>
          <w:szCs w:val="21"/>
        </w:rPr>
        <w:t xml:space="preserve">Definir las líneas rojas antes de salir de tu casa.</w:t>
      </w:r>
    </w:p>
    <w:p>
      <w:pPr>
        <w:pStyle w:val="ListParagraph"/>
        <w:numPr>
          <w:ilvl w:val="0"/>
          <w:numId w:val="2"/>
        </w:numPr>
        <w:spacing w:after="90" w:line="276"/>
      </w:pPr>
      <w:r>
        <w:rPr>
          <w:rFonts w:ascii="Calibri" w:cs="Calibri" w:eastAsia="Calibri" w:hAnsi="Calibri"/>
          <w:sz w:val="21"/>
          <w:szCs w:val="21"/>
        </w:rPr>
        <w:t xml:space="preserve">Preparar las ocho preguntas.</w:t>
      </w:r>
    </w:p>
    <w:p>
      <w:pPr>
        <w:pStyle w:val="ListParagraph"/>
        <w:numPr>
          <w:ilvl w:val="0"/>
          <w:numId w:val="2"/>
        </w:numPr>
        <w:spacing w:after="90" w:line="276"/>
      </w:pPr>
      <w:r>
        <w:rPr>
          <w:rFonts w:ascii="Calibri" w:cs="Calibri" w:eastAsia="Calibri" w:hAnsi="Calibri"/>
          <w:sz w:val="21"/>
          <w:szCs w:val="21"/>
        </w:rPr>
        <w:t xml:space="preserve">Decidir de antemano cuál va a ser tu primer "no" chico y tranquilo.</w:t>
      </w:r>
    </w:p>
    <w:p>
      <w:pPr>
        <w:pStyle w:val="ListParagraph"/>
        <w:numPr>
          <w:ilvl w:val="0"/>
          <w:numId w:val="2"/>
        </w:numPr>
        <w:spacing w:after="90" w:line="276"/>
      </w:pPr>
      <w:r>
        <w:rPr>
          <w:rFonts w:ascii="Calibri" w:cs="Calibri" w:eastAsia="Calibri" w:hAnsi="Calibri"/>
          <w:sz w:val="21"/>
          <w:szCs w:val="21"/>
        </w:rPr>
        <w:t xml:space="preserve">Regla del día: no se firma ni se acuerda nada el viernes.</w:t>
      </w:r>
    </w:p>
    <w:p>
      <w:pPr>
        <w:pBdr>
          <w:bottom w:val="single" w:color="BFBFBF" w:sz="6"/>
        </w:pBdr>
        <w:spacing w:after="160"/>
      </w:pPr>
    </w:p>
    <w:p>
      <w:pPr>
        <w:pStyle w:val="Heading2"/>
        <w:spacing w:after="110" w:before="220"/>
      </w:pPr>
      <w:r>
        <w:rPr>
          <w:rFonts w:ascii="Calibri" w:cs="Calibri" w:eastAsia="Calibri" w:hAnsi="Calibri"/>
          <w:b/>
          <w:bCs/>
          <w:color w:val="1F3864"/>
          <w:sz w:val="23"/>
          <w:szCs w:val="23"/>
        </w:rPr>
        <w:t xml:space="preserve">Fuentes</w:t>
      </w:r>
    </w:p>
    <w:p>
      <w:pPr>
        <w:spacing w:after="70"/>
      </w:pPr>
      <w:r>
        <w:rPr>
          <w:rFonts w:ascii="Calibri" w:cs="Calibri" w:eastAsia="Calibri" w:hAnsi="Calibri"/>
          <w:color w:val="595959"/>
          <w:sz w:val="17"/>
          <w:szCs w:val="17"/>
        </w:rPr>
        <w:t xml:space="preserve">Infobae - El consumo masivo cayó 2,7% en junio y acumula una baja de casi 3% en 2026 - </w:t>
      </w:r>
      <w:r>
        <w:rPr>
          <w:rFonts w:ascii="Calibri" w:cs="Calibri" w:eastAsia="Calibri" w:hAnsi="Calibri"/>
          <w:color w:val="1155CC"/>
          <w:sz w:val="17"/>
          <w:szCs w:val="17"/>
        </w:rPr>
        <w:t xml:space="preserve">https://www.infobae.com/economia/2026/07/23/el-consumo-masivo-cayo-27-en-junio-y-acumula-una-baja-de-casi-3-en-2026/</w:t>
      </w:r>
    </w:p>
    <w:p>
      <w:pPr>
        <w:spacing w:after="70"/>
      </w:pPr>
      <w:r>
        <w:rPr>
          <w:rFonts w:ascii="Calibri" w:cs="Calibri" w:eastAsia="Calibri" w:hAnsi="Calibri"/>
          <w:color w:val="595959"/>
          <w:sz w:val="17"/>
          <w:szCs w:val="17"/>
        </w:rPr>
        <w:t xml:space="preserve">Bloomberg Linea - Consumo masivo cayó en el primer semestre: qué pasa con los supermercados - </w:t>
      </w:r>
      <w:r>
        <w:rPr>
          <w:rFonts w:ascii="Calibri" w:cs="Calibri" w:eastAsia="Calibri" w:hAnsi="Calibri"/>
          <w:color w:val="1155CC"/>
          <w:sz w:val="17"/>
          <w:szCs w:val="17"/>
        </w:rPr>
        <w:t xml:space="preserve">https://www.bloomberglinea.com/latinoamerica/argentina/consumo-masivo-cayo-en-el-primer-semestre-que-pasa-con-los-supermercados-y-el-unico-canal-que-crece-en-argentina/</w:t>
      </w:r>
    </w:p>
    <w:p>
      <w:pPr>
        <w:spacing w:after="70"/>
      </w:pPr>
      <w:r>
        <w:rPr>
          <w:rFonts w:ascii="Calibri" w:cs="Calibri" w:eastAsia="Calibri" w:hAnsi="Calibri"/>
          <w:color w:val="595959"/>
          <w:sz w:val="17"/>
          <w:szCs w:val="17"/>
        </w:rPr>
        <w:t xml:space="preserve">Infobae - La ANMAT habilitó la venta libre de medicamentos para afecciones de baja complejidad (Disp. 4714/2026) - </w:t>
      </w:r>
      <w:r>
        <w:rPr>
          <w:rFonts w:ascii="Calibri" w:cs="Calibri" w:eastAsia="Calibri" w:hAnsi="Calibri"/>
          <w:color w:val="1155CC"/>
          <w:sz w:val="17"/>
          <w:szCs w:val="17"/>
        </w:rPr>
        <w:t xml:space="preserve">https://www.infobae.com/salud/2026/07/28/la-anmat-habilito-la-venta-libre-de-medicamentos-para-afecciones-de-baja-complejidad-cuales-son/</w:t>
      </w:r>
    </w:p>
    <w:p>
      <w:pPr>
        <w:spacing w:after="70"/>
      </w:pPr>
      <w:r>
        <w:rPr>
          <w:rFonts w:ascii="Calibri" w:cs="Calibri" w:eastAsia="Calibri" w:hAnsi="Calibri"/>
          <w:color w:val="595959"/>
          <w:sz w:val="17"/>
          <w:szCs w:val="17"/>
        </w:rPr>
        <w:t xml:space="preserve">Argentina.gob.ar - ANMAT amplía la venta libre de medicamentos - </w:t>
      </w:r>
      <w:r>
        <w:rPr>
          <w:rFonts w:ascii="Calibri" w:cs="Calibri" w:eastAsia="Calibri" w:hAnsi="Calibri"/>
          <w:color w:val="1155CC"/>
          <w:sz w:val="17"/>
          <w:szCs w:val="17"/>
        </w:rPr>
        <w:t xml:space="preserve">https://www.argentina.gob.ar/noticias/anmat-amplia-la-venta-libre-de-medicamentos-para-facilitar-el-acceso-tratamientos-seguros</w:t>
      </w:r>
    </w:p>
    <w:p>
      <w:pPr>
        <w:spacing w:after="70"/>
      </w:pPr>
      <w:r>
        <w:rPr>
          <w:rFonts w:ascii="Calibri" w:cs="Calibri" w:eastAsia="Calibri" w:hAnsi="Calibri"/>
          <w:color w:val="595959"/>
          <w:sz w:val="17"/>
          <w:szCs w:val="17"/>
        </w:rPr>
        <w:t xml:space="preserve">APFDigital - Impulsan la venta libre de medicamentos en kioscos, supermercados y online (proyecto, no norma vigente) - </w:t>
      </w:r>
      <w:r>
        <w:rPr>
          <w:rFonts w:ascii="Calibri" w:cs="Calibri" w:eastAsia="Calibri" w:hAnsi="Calibri"/>
          <w:color w:val="1155CC"/>
          <w:sz w:val="17"/>
          <w:szCs w:val="17"/>
        </w:rPr>
        <w:t xml:space="preserve">https://www.apfdigital.com.ar/noticias/2026/05/24/457227-impulsan-la-venta-libre-de-medicamentos-en-kioscos-en-supermercados-online-y-que-se-exhiban-en-gondola</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Reunión del viernes - Análisis de la propuesta del distribuidor</dc:title>
  <dc:creator>Analisis comercial</dc:creator>
  <cp:lastModifiedBy>Un-named</cp:lastModifiedBy>
  <cp:revision>1</cp:revision>
  <dcterms:created xsi:type="dcterms:W3CDTF">2026-08-01T20:43:35.820Z</dcterms:created>
  <dcterms:modified xsi:type="dcterms:W3CDTF">2026-08-01T20:43:35.820Z</dcterms:modified>
</cp:coreProperties>
</file>

<file path=docProps/custom.xml><?xml version="1.0" encoding="utf-8"?>
<Properties xmlns="http://schemas.openxmlformats.org/officeDocument/2006/custom-properties" xmlns:vt="http://schemas.openxmlformats.org/officeDocument/2006/docPropsVTypes"/>
</file>