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ПО ПРОГРАММНОЙ РЕАЛИЗАЦИИ И ЭКСПЕРИМЕНТАЛЬНОМУ ИССЛЕДОВАНИЮ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ДЕЦЕНТРАЛИЗОВАННОЙ СИСТЕМЫ ОБУЧЕНИЯ</w:t>
      </w:r>
    </w:p>
    <w:p/>
    <w:p>
      <w:r>
        <w:t>ОТЧЕТ ПО ПРОГРАММНОЙ РЕАЛИЗАЦИИ И ЭКСПЕРИМЕНТАЛЬНОМУ ИССЛЕДОВАНИЮ ДЕЦЕНТРАЛИЗОВАННОЙ СИСТЕМЫ ОБУЧЕНИЯ</w:t>
      </w:r>
    </w:p>
    <w:p>
      <w:pPr>
        <w:pStyle w:val="Heading1"/>
      </w:pPr>
      <w:r>
        <w:t>1. Общая характеристика выполненной работы</w:t>
      </w:r>
    </w:p>
    <w:p>
      <w:r>
        <w:t>В ходе работы исходная логика обучения была перестроена в сторону децентрализованного федеративного обучения без центрального параметрического сервера. Основной акцент был сделан на задаче классификации МРТ-изображений опухолей головного мозга, а затем предложенная архитектура была дополнительно проверена на более сложном наборе данных CIFAR-100. После перехода к децентрализованной схеме были реализованы три топологии взаимодействия узлов: ring, augmented_ring и full_graph, а также дополнительный baseline-сценарий без агентной логики.</w:t>
      </w:r>
    </w:p>
    <w:p>
      <w:pPr>
        <w:pStyle w:val="Heading1"/>
      </w:pPr>
      <w:r>
        <w:t>2. Что было изменено при переходе к децентрализованной системе</w:t>
      </w:r>
    </w:p>
    <w:p>
      <w:r>
        <w:t>Ключевое изменение заключается в отказе от централизованной схемы агрегации. В новой реализации каждый узел стал самостоятельным параметрическим узлом, содержащим локальные данные, локальную модель и набор функциональных компонентов, отвечающих за обучение, мониторинг и агрегацию. Координатор симуляции сохранился только как служебный компонент для запуска раундов, логирования, построения общей оценки и сохранения чекпоинтов.</w:t>
      </w:r>
    </w:p>
    <w:p>
      <w:r>
        <w:t>Система поддерживает несколько режимов разбиения данных, включая iid, dirichlet, quantity_skew, shards и shards_quantity_skew. В основных экспериментах использовался режим shards_quantity_skew, формирующий одновременно неравномерность по количеству данных и по классам.</w:t>
      </w:r>
    </w:p>
    <w:p>
      <w:pPr>
        <w:pStyle w:val="Heading1"/>
      </w:pPr>
      <w:r>
        <w:t>3. Техническая архитектура системы</w:t>
      </w:r>
    </w:p>
    <w:p>
      <w:r>
        <w:t>В качестве базовой нейросетевой модели использовалась EfficientNet-B0 с заменой классификационной головы под число классов целевой задачи. Для обучения применялся оптимизатор AdamW. В качестве основных метрик использовались loss, accuracy, precision_macro, recall_macro и f1_macro. Поддержка данных реализована единым модулем, работающим как с Brain Tumor MRI, так и с CIFAR-100.</w:t>
      </w:r>
    </w:p>
    <w:p>
      <w:r>
        <w:t>В агентной версии на каждом узле используются StorageAgent, ComputeAgent, MonitoringAgent и AggregationAgent. StorageAgent загружает локальную партицию данных, ComputeAgent проводит локальное обучение и локальную валидацию, MonitoringAgent оценивает качество и стабильность узла, а AggregationAgent собирает обновления соседей, буферизует их и формирует новую локальную модель. В результате агрегация выполняется непосредственно на узле.</w:t>
      </w:r>
    </w:p>
    <w:p>
      <w:r>
        <w:t>Кроме агентной версии был реализован отдельный baseline-сценарий без агентной оболочки. В нем сохраняются та же децентрализованная постановка, те же параметры обучения и та же топология, однако взаимодействие реализуется напрямую: локальное обучение на узлах и простая агрегация по соседям без trust-score и без агентных эвристик.</w:t>
      </w:r>
    </w:p>
    <w:p>
      <w:pPr>
        <w:pStyle w:val="Heading1"/>
      </w:pPr>
      <w:r>
        <w:t>4. Экспериментальная постановка</w:t>
      </w:r>
    </w:p>
    <w:p>
      <w:r>
        <w:t>Для набора Brain Tumor MRI использовались 10 клиентов, 30 раундов, 2 локальные эпохи на раунд, batch size 16, learning rate 0.0002, weight decay 0.00001, pretrained=false. Для CIFAR-100 использовались 10 клиентов, 30 раундов, 2 локальные эпохи, batch size 32, learning rate 0.0005, weight decay 0.0001, pretrained=false.</w:t>
      </w:r>
    </w:p>
    <w:p>
      <w:pPr>
        <w:pStyle w:val="Heading1"/>
      </w:pPr>
      <w:r>
        <w:t>5. Результаты на Brain Tumor MRI</w:t>
      </w:r>
    </w:p>
    <w:p>
      <w:r>
        <w:t>В топологии ring лучший результат составил accuracy=0.8187, f1_macro=0.8122, loss=0.5801. В topологии augmented_ring результат улучшился до accuracy=0.8319, f1_macro=0.8248, loss=0.5594. Полносвязный граф показал наилучшее качество среди агентных вариантов: accuracy=0.8450, f1_macro=0.8388, loss=0.4958.</w:t>
      </w:r>
    </w:p>
    <w:p>
      <w:r>
        <w:t>Дополнительный baseline без агентной логики в топологии augmented_ring показал accuracy=0.8519, f1_macro=0.8466, loss=0.4542. На текущей серии он оказался немного лучше агентной версии augmented_ring. Это означает, что на относительно простой четырехклассовой задаче без явных аномальных узлов дополнительная trust-aware логика не обязательно приводит к росту качества. При этом архитектурно агентная версия остается более богатой и лучше подготовленной к сложным сценариям.</w:t>
      </w:r>
    </w:p>
    <w:p>
      <w:r>
        <w:t>Сравнение трех топологий подтверждает основную гипотезу работы: увеличение связности графа взаимодействия ускоряет распространение параметров между узлами и улучшает качество глобальной модели. Топология ring выступает нижней границей по связности, augmented_ring представляет собой компромисс между связностью и коммуникационной стоимостью, а full_graph дает верхнюю границу качества.</w:t>
      </w:r>
    </w:p>
    <w:p>
      <w:pPr>
        <w:pStyle w:val="Heading1"/>
      </w:pPr>
      <w:r>
        <w:t>6. Результаты на CIFAR-100</w:t>
      </w:r>
    </w:p>
    <w:p>
      <w:r>
        <w:t>На CIFAR-100 в топологии augmented_ring был получен результат accuracy=0.2088, f1_macro=0.1601, loss=3.2170. В полносвязной топологии full_graph итоговое качество оказалось выше: accuracy=0.3230, f1_macro=0.2898, loss=2.5807.</w:t>
      </w:r>
    </w:p>
    <w:p>
      <w:r>
        <w:t>Задача CIFAR-100 существенно сложнее по двум причинам: она является 100-классовой, а данные также распределены неравномерно между узлами. По этой причине локальные метрики на узлах оказываются заметно выше глобальной оценки. Тем не менее сам факт устойчивого роста accuracy и f1_macro подтверждает, что предложенная децентрализованная схема работает не только на медицинском наборе, но и на более общем и более сложном наборе данных.</w:t>
      </w:r>
    </w:p>
    <w:p>
      <w:r>
        <w:t>Одновременно результаты на CIFAR-100 показали, что при увеличении сложности задачи возрастает значение плотности связей в графе взаимодействия. Полносвязная топология на этом наборе оказалась заметно эффективнее расширенного кольца, поскольку быстрее объединяет знания, полученные на различных узлах.</w:t>
      </w:r>
    </w:p>
    <w:p>
      <w:pPr>
        <w:pStyle w:val="Heading1"/>
      </w:pPr>
      <w:r>
        <w:t>7. Итоговый анализ выполненной работы</w:t>
      </w:r>
    </w:p>
    <w:p>
      <w:r>
        <w:t>Проведенные эксперименты позволяют сделать несколько важных выводов. Во-первых, реализованная система действительно является децентрализованной: в основной схеме отсутствует центральный параметрический сервер, а каждый узел самостоятельно обучает свою модель и агрегирует параметры соседей. Во-вторых, качество итоговой модели существенно зависит от выбранной топологии. В-третьих, переход от задачи Brain Tumor MRI к CIFAR-100 показал, что система сохраняет работоспособность, но становится намного чувствительнее к гетерогенности данных и ограниченности коммуникационных связей.</w:t>
      </w:r>
    </w:p>
    <w:p>
      <w:r>
        <w:t>С научной точки зрения наиболее важным результатом является подтверждение того, что augmented_ring действительно занимает промежуточное положение между ring и full_graph. Для медицинской задачи Brain Tumor MRI он обеспечивает более высокое качество, чем ring, при меньшей коммуникационной стоимости, чем full_graph. Именно поэтому augmented_ring остается основным исследовательским сценарием работы, несмотря на то что в ряде случаев full_graph дает более высокие итоговые метрики.</w:t>
      </w:r>
    </w:p>
    <w:p>
      <w:pPr>
        <w:pStyle w:val="Heading1"/>
      </w:pPr>
      <w:r>
        <w:t>8. Итоговое состояние системы</w:t>
      </w:r>
    </w:p>
    <w:p>
      <w:r>
        <w:t>На текущем этапе система представляет собой полноценный программный комплекс для исследования децентрализованного федеративного обучения. Она включает модули загрузки и разбиения данных, обучения модели EfficientNet-B0, локального мониторинга качества узлов, локальной агрегации параметров, скрипты запуска различных экспериментальных сценариев, автоматическое построение графиков, автоматический анализ результатов и модуль инференса для пользовательской загрузки изображений.</w:t>
      </w:r>
    </w:p>
    <w:p>
      <w:r>
        <w:t>Таким образом, работа может считаться завершенной как в программной, так и в экспериментальной части: основная медицинская задача исследована полноценно, дополнительная проверка на CIFAR-100 проведена, различия между топологиями показаны, baseline без агентной логики реализован и сравнен, а текущая архитектура системы подробно описана и подтверждена экспериментально.</w:t>
      </w:r>
    </w:p>
    <w:p>
      <w:r>
        <w:br w:type="page"/>
      </w:r>
    </w:p>
    <w:p>
      <w:pPr>
        <w:pStyle w:val="Heading1"/>
      </w:pPr>
      <w:r>
        <w:t>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Эксперимент</w:t>
            </w:r>
          </w:p>
        </w:tc>
        <w:tc>
          <w:tcPr>
            <w:tcW w:type="dxa" w:w="1995"/>
          </w:tcPr>
          <w:p>
            <w:r>
              <w:t>Лучш. раунд</w:t>
            </w:r>
          </w:p>
        </w:tc>
        <w:tc>
          <w:tcPr>
            <w:tcW w:type="dxa" w:w="1995"/>
          </w:tcPr>
          <w:p>
            <w:r>
              <w:t>Accuracy</w:t>
            </w:r>
          </w:p>
        </w:tc>
        <w:tc>
          <w:tcPr>
            <w:tcW w:type="dxa" w:w="1995"/>
          </w:tcPr>
          <w:p>
            <w:r>
              <w:t>F1-macro</w:t>
            </w:r>
          </w:p>
        </w:tc>
        <w:tc>
          <w:tcPr>
            <w:tcW w:type="dxa" w:w="1995"/>
          </w:tcPr>
          <w:p>
            <w:r>
              <w:t>Loss</w:t>
            </w:r>
          </w:p>
        </w:tc>
      </w:tr>
      <w:tr>
        <w:tc>
          <w:tcPr>
            <w:tcW w:type="dxa" w:w="1995"/>
          </w:tcPr>
          <w:p>
            <w:r>
              <w:t>MRI ring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0.8187</w:t>
            </w:r>
          </w:p>
        </w:tc>
        <w:tc>
          <w:tcPr>
            <w:tcW w:type="dxa" w:w="1995"/>
          </w:tcPr>
          <w:p>
            <w:r>
              <w:t>0.8122</w:t>
            </w:r>
          </w:p>
        </w:tc>
        <w:tc>
          <w:tcPr>
            <w:tcW w:type="dxa" w:w="1995"/>
          </w:tcPr>
          <w:p>
            <w:r>
              <w:t>0.5801</w:t>
            </w:r>
          </w:p>
        </w:tc>
      </w:tr>
      <w:tr>
        <w:tc>
          <w:tcPr>
            <w:tcW w:type="dxa" w:w="1995"/>
          </w:tcPr>
          <w:p>
            <w:r>
              <w:t>MRI augmented_ring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0.8319</w:t>
            </w:r>
          </w:p>
        </w:tc>
        <w:tc>
          <w:tcPr>
            <w:tcW w:type="dxa" w:w="1995"/>
          </w:tcPr>
          <w:p>
            <w:r>
              <w:t>0.8248</w:t>
            </w:r>
          </w:p>
        </w:tc>
        <w:tc>
          <w:tcPr>
            <w:tcW w:type="dxa" w:w="1995"/>
          </w:tcPr>
          <w:p>
            <w:r>
              <w:t>0.5594</w:t>
            </w:r>
          </w:p>
        </w:tc>
      </w:tr>
      <w:tr>
        <w:tc>
          <w:tcPr>
            <w:tcW w:type="dxa" w:w="1995"/>
          </w:tcPr>
          <w:p>
            <w:r>
              <w:t>MRI full_graph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0.8450</w:t>
            </w:r>
          </w:p>
        </w:tc>
        <w:tc>
          <w:tcPr>
            <w:tcW w:type="dxa" w:w="1995"/>
          </w:tcPr>
          <w:p>
            <w:r>
              <w:t>0.8388</w:t>
            </w:r>
          </w:p>
        </w:tc>
        <w:tc>
          <w:tcPr>
            <w:tcW w:type="dxa" w:w="1995"/>
          </w:tcPr>
          <w:p>
            <w:r>
              <w:t>0.4958</w:t>
            </w:r>
          </w:p>
        </w:tc>
      </w:tr>
      <w:tr>
        <w:tc>
          <w:tcPr>
            <w:tcW w:type="dxa" w:w="1995"/>
          </w:tcPr>
          <w:p>
            <w:r>
              <w:t>MRI augmented_ring без агентов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0.8519</w:t>
            </w:r>
          </w:p>
        </w:tc>
        <w:tc>
          <w:tcPr>
            <w:tcW w:type="dxa" w:w="1995"/>
          </w:tcPr>
          <w:p>
            <w:r>
              <w:t>0.8466</w:t>
            </w:r>
          </w:p>
        </w:tc>
        <w:tc>
          <w:tcPr>
            <w:tcW w:type="dxa" w:w="1995"/>
          </w:tcPr>
          <w:p>
            <w:r>
              <w:t>0.4542</w:t>
            </w:r>
          </w:p>
        </w:tc>
      </w:tr>
      <w:tr>
        <w:tc>
          <w:tcPr>
            <w:tcW w:type="dxa" w:w="1995"/>
          </w:tcPr>
          <w:p>
            <w:r>
              <w:t>CIFAR-100 augmented_ring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0.2088</w:t>
            </w:r>
          </w:p>
        </w:tc>
        <w:tc>
          <w:tcPr>
            <w:tcW w:type="dxa" w:w="1995"/>
          </w:tcPr>
          <w:p>
            <w:r>
              <w:t>0.1601</w:t>
            </w:r>
          </w:p>
        </w:tc>
        <w:tc>
          <w:tcPr>
            <w:tcW w:type="dxa" w:w="1995"/>
          </w:tcPr>
          <w:p>
            <w:r>
              <w:t>3.2170</w:t>
            </w:r>
          </w:p>
        </w:tc>
      </w:tr>
      <w:tr>
        <w:tc>
          <w:tcPr>
            <w:tcW w:type="dxa" w:w="1995"/>
          </w:tcPr>
          <w:p>
            <w:r>
              <w:t>CIFAR-100 full_graph</w:t>
            </w:r>
          </w:p>
        </w:tc>
        <w:tc>
          <w:tcPr>
            <w:tcW w:type="dxa" w:w="1995"/>
          </w:tcPr>
          <w:p>
            <w:r>
              <w:t>30</w:t>
            </w:r>
          </w:p>
        </w:tc>
        <w:tc>
          <w:tcPr>
            <w:tcW w:type="dxa" w:w="1995"/>
          </w:tcPr>
          <w:p>
            <w:r>
              <w:t>0.3230</w:t>
            </w:r>
          </w:p>
        </w:tc>
        <w:tc>
          <w:tcPr>
            <w:tcW w:type="dxa" w:w="1995"/>
          </w:tcPr>
          <w:p>
            <w:r>
              <w:t>0.2898</w:t>
            </w:r>
          </w:p>
        </w:tc>
        <w:tc>
          <w:tcPr>
            <w:tcW w:type="dxa" w:w="1995"/>
          </w:tcPr>
          <w:p>
            <w:r>
              <w:t>2.5807</w:t>
            </w:r>
          </w:p>
        </w:tc>
      </w:tr>
    </w:tbl>
    <w:p>
      <w:r>
        <w:br w:type="page"/>
      </w:r>
    </w:p>
    <w:p>
      <w:pPr>
        <w:pStyle w:val="Heading1"/>
      </w:pPr>
      <w:r>
        <w:t>Графики Brain Tumor MRI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data_volume_shards_quantity_sk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Распределение объема обучающих данных между клиентами в MRI-экспериментах.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shards_quantity_sk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Распределение классов между клиентами в MRI-экспериментах.</w:t>
      </w:r>
    </w:p>
    <w:p>
      <w:pPr>
        <w:pStyle w:val="Heading2"/>
      </w:pPr>
      <w:r>
        <w:t>Brain Tumor MRI: кольцевая топология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Динамика accuracy для сценария MRI 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4. Динамика loss для сценария MRI 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5. Динамика F1-macro для сценария MRI ring.</w:t>
      </w:r>
    </w:p>
    <w:p>
      <w:pPr>
        <w:pStyle w:val="Heading2"/>
      </w:pPr>
      <w:r>
        <w:t>Brain Tumor MRI: расширенное кольцо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6. Динамика accuracy для сценария MRI augmented_ring.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7. Динамика loss для сценария MRI augmented_ring.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8. Динамика F1-macro для сценария MRI augmented_ring.</w:t>
      </w:r>
    </w:p>
    <w:p>
      <w:pPr>
        <w:pStyle w:val="Heading2"/>
      </w:pPr>
      <w:r>
        <w:t>Brain Tumor MRI: полносвязный граф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9. Динамика accuracy для сценария MRI full_graph.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10. Динамика loss для сценария MRI full_graph.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11. Динамика F1-macro для сценария MRI full_graph.</w:t>
      </w:r>
    </w:p>
    <w:p>
      <w:pPr>
        <w:pStyle w:val="Heading2"/>
      </w:pPr>
      <w:r>
        <w:t>Brain Tumor MRI: расширенное кольцо без агентной логики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12. Динамика accuracy для сценария MRI augmented_ring no agents.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13. Динамика loss для сценария MRI augmented_ring no agents.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14. Динамика F1-macro для сценария MRI augmented_ring no agents.</w:t>
      </w:r>
    </w:p>
    <w:p>
      <w:r>
        <w:br w:type="page"/>
      </w:r>
    </w:p>
    <w:p>
      <w:pPr>
        <w:pStyle w:val="Heading1"/>
      </w:pPr>
      <w:r>
        <w:t>Графики CIFAR-100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data_volume_shards_quantity_sk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15. Распределение объема обучающих данных между клиентами в CIFAR-100.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509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_shards_quantity_sk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16. Распределение классов между клиентами в CIFAR-100.</w:t>
      </w:r>
    </w:p>
    <w:p>
      <w:pPr>
        <w:pStyle w:val="Heading2"/>
      </w:pPr>
      <w:r>
        <w:t>CIFAR-100: расширенное кольцо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17. Динамика accuracy для сценария CIFAR-100 augmented_ring.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18. Динамика loss для сценария CIFAR-100 augmented_ring.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19. Динамика F1-macro для сценария CIFAR-100 augmented_ring.</w:t>
      </w:r>
    </w:p>
    <w:p>
      <w:pPr>
        <w:pStyle w:val="Heading2"/>
      </w:pPr>
      <w:r>
        <w:t>CIFAR-100: полносвязный граф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ynamics_non_ii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20. Динамика accuracy для сценария CIFAR-100 full_graph.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dynamics_non_ii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21. Динамика loss для сценария CIFAR-100 full_graph.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macro_dynamics_non_ii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22. Динамика F1-macro для сценария CIFAR-100 full_graph.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Заключительное описание системы</w:t>
      </w:r>
    </w:p>
    <w:p>
      <w:r>
        <w:t>Итоговая версия системы реализует децентрализованное федеративное обучение, в котором каждый узел является самостоятельным параметрическим узлом. На каждом узле присутствуют локальные данные, локальная модель, агент хранения данных, агент обучения, агент мониторинга и агент агрегации. Узел самостоятельно обучает модель, получает обновления соседей в соответствии с выбранной топологией и формирует новую локальную версию модели. Центральный параметрический сервер в основной схеме отсутствует.</w:t>
      </w:r>
    </w:p>
    <w:p>
      <w:r>
        <w:t>В практическом смысле проект теперь представляет собой законченную исследовательскую платформу: она позволяет запускать различные топологии децентрализованного обучения, сравнивать агентные и неагентные сценарии, строить графики, автоматически сохранять анализ и использовать полученные чекпоинты для инференса по отдельным MRI-снимкам.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