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2026-08-18 | Estado: Fase 1 (Domain) completada — Fase 2 (Identity + EF Core + PostgreSQL) en preparación | Plan de empleabilidad integrado (sección 10)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Siguiente paso: Fase 2 (Identity + EF Core + PostgreSQL). El orden de trabajo exacto está en la sección 9.2.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JWT, Opción A (ADR-022).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ListBullet"/>
      </w:pPr>
      <w:r>
        <w:t>Sección 10: plan de empleabilidad (integración con el mercado y los archivos de trabajo).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p>
      <w:pPr>
        <w:pStyle w:val="Heading1"/>
      </w:pPr>
      <w:r>
        <w:t>10. Plan de empleabilidad (integración con el mercado)</w:t>
      </w:r>
    </w:p>
    <w:p>
      <w:pPr/>
      <w:r>
        <w:t>El mercado colombiano C#/.NET (17 ofertas analizadas el 2026-08-18) pide C#, .NET y SQL en ~82% de los casos; cloud (Azure/AWS) en 71%; testing en 65%; ASP.NET, JavaScript y CI/CD en ~59%; React en 41%. Esta sección integra la estrategia de empleabilidad con el roadmap técnico (secciones 8-9): cada fase de GymTracker agrega keywords verificables al CV. El orden técnico de la sección 9.2 no cambia; lo que cambia es la prioridad según mercado: SQL, testing y cloud antes que features avanzadas.</w:t>
      </w:r>
    </w:p>
    <w:p>
      <w:pPr>
        <w:pStyle w:val="Heading2"/>
      </w:pPr>
      <w:r>
        <w:t>10.1 Mapa: habilidad del mercado → fase de GymTracker → semana → 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1400"/>
        <w:gridCol w:w="1500"/>
        <w:gridCol w:w="2800"/>
        <w:gridCol w:w="2220"/>
      </w:tblGrid>
      <w:tr>
        <w:tc>
          <w:tcPr>
            <w:tcW w:type="dxa" w:w="72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1400"/>
          </w:tcPr>
          <w:p>
            <w:r/>
            <w:r>
              <w:rPr>
                <w:b/>
              </w:rPr>
              <w:t>Fase GymTracker</w:t>
            </w:r>
          </w:p>
        </w:tc>
        <w:tc>
          <w:tcPr>
            <w:tcW w:type="dxa" w:w="1500"/>
          </w:tcPr>
          <w:p>
            <w:r/>
            <w:r>
              <w:rPr>
                <w:b/>
              </w:rPr>
              <w:t>Habilidad del mercado</w:t>
            </w:r>
          </w:p>
        </w:tc>
        <w:tc>
          <w:tcPr>
            <w:tcW w:type="dxa" w:w="2800"/>
          </w:tcPr>
          <w:p>
            <w:r/>
            <w:r>
              <w:rPr>
                <w:b/>
              </w:rPr>
              <w:t>Keywords CV</w:t>
            </w:r>
          </w:p>
        </w:tc>
        <w:tc>
          <w:tcPr>
            <w:tcW w:type="dxa" w:w="222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720"/>
          </w:tcPr>
          <w:p>
            <w:r/>
            <w:r>
              <w:t>1-2</w:t>
            </w:r>
          </w:p>
        </w:tc>
        <w:tc>
          <w:tcPr>
            <w:tcW w:type="dxa" w:w="1400"/>
          </w:tcPr>
          <w:p>
            <w:r/>
            <w:r>
              <w:t>Fase 2</w:t>
            </w:r>
          </w:p>
        </w:tc>
        <w:tc>
          <w:tcPr>
            <w:tcW w:type="dxa" w:w="1500"/>
          </w:tcPr>
          <w:p>
            <w:r/>
            <w:r>
              <w:t>EF Core, PostgreSQL, Identity</w:t>
            </w:r>
          </w:p>
        </w:tc>
        <w:tc>
          <w:tcPr>
            <w:tcW w:type="dxa" w:w="2800"/>
          </w:tcPr>
          <w:p>
            <w:r/>
            <w:r>
              <w:t>Entity Framework Core, PostgreSQL, ASP.NET Identity, Migrations</w:t>
            </w:r>
          </w:p>
        </w:tc>
        <w:tc>
          <w:tcPr>
            <w:tcW w:type="dxa" w:w="2220"/>
          </w:tcPr>
          <w:p>
            <w:r/>
            <w:r>
              <w:t>DbContext + tablas + seed + Swagger</w:t>
            </w:r>
          </w:p>
        </w:tc>
      </w:tr>
      <w:tr>
        <w:tc>
          <w:tcPr>
            <w:tcW w:type="dxa" w:w="720"/>
          </w:tcPr>
          <w:p>
            <w:r/>
            <w:r>
              <w:t>3</w:t>
            </w:r>
          </w:p>
        </w:tc>
        <w:tc>
          <w:tcPr>
            <w:tcW w:type="dxa" w:w="1400"/>
          </w:tcPr>
          <w:p>
            <w:r/>
            <w:r>
              <w:t>Fase 3 — Routine</w:t>
            </w:r>
          </w:p>
        </w:tc>
        <w:tc>
          <w:tcPr>
            <w:tcW w:type="dxa" w:w="1500"/>
          </w:tcPr>
          <w:p>
            <w:r/>
            <w:r>
              <w:t>REST API, DI, Testing</w:t>
            </w:r>
          </w:p>
        </w:tc>
        <w:tc>
          <w:tcPr>
            <w:tcW w:type="dxa" w:w="2800"/>
          </w:tcPr>
          <w:p>
            <w:r/>
            <w:r>
              <w:t>REST API, DTOs, Dependency Injection, xUnit</w:t>
            </w:r>
          </w:p>
        </w:tc>
        <w:tc>
          <w:tcPr>
            <w:tcW w:type="dxa" w:w="2220"/>
          </w:tcPr>
          <w:p>
            <w:r/>
            <w:r>
              <w:t>CRUD rutinas con tests</w:t>
            </w:r>
          </w:p>
        </w:tc>
      </w:tr>
      <w:tr>
        <w:tc>
          <w:tcPr>
            <w:tcW w:type="dxa" w:w="720"/>
          </w:tcPr>
          <w:p>
            <w:r/>
            <w:r>
              <w:t>4</w:t>
            </w:r>
          </w:p>
        </w:tc>
        <w:tc>
          <w:tcPr>
            <w:tcW w:type="dxa" w:w="1400"/>
          </w:tcPr>
          <w:p>
            <w:r/>
            <w:r>
              <w:t>Fase 4 — Workout</w:t>
            </w:r>
          </w:p>
        </w:tc>
        <w:tc>
          <w:tcPr>
            <w:tcW w:type="dxa" w:w="1500"/>
          </w:tcPr>
          <w:p>
            <w:r/>
            <w:r>
              <w:t>SQL, consultas</w:t>
            </w:r>
          </w:p>
        </w:tc>
        <w:tc>
          <w:tcPr>
            <w:tcW w:type="dxa" w:w="2800"/>
          </w:tcPr>
          <w:p>
            <w:r/>
            <w:r>
              <w:t>SQL, LINQ, Transactions, Indexes</w:t>
            </w:r>
          </w:p>
        </w:tc>
        <w:tc>
          <w:tcPr>
            <w:tcW w:type="dxa" w:w="2220"/>
          </w:tcPr>
          <w:p>
            <w:r/>
            <w:r>
              <w:t>Historial + PR</w:t>
            </w:r>
          </w:p>
        </w:tc>
      </w:tr>
      <w:tr>
        <w:tc>
          <w:tcPr>
            <w:tcW w:type="dxa" w:w="720"/>
          </w:tcPr>
          <w:p>
            <w:r/>
            <w:r>
              <w:t>5</w:t>
            </w:r>
          </w:p>
        </w:tc>
        <w:tc>
          <w:tcPr>
            <w:tcW w:type="dxa" w:w="1400"/>
          </w:tcPr>
          <w:p>
            <w:r/>
            <w:r>
              <w:t>Fase 5 — Cycle + Docker</w:t>
            </w:r>
          </w:p>
        </w:tc>
        <w:tc>
          <w:tcPr>
            <w:tcW w:type="dxa" w:w="1500"/>
          </w:tcPr>
          <w:p>
            <w:r/>
            <w:r>
              <w:t>Docker</w:t>
            </w:r>
          </w:p>
        </w:tc>
        <w:tc>
          <w:tcPr>
            <w:tcW w:type="dxa" w:w="2800"/>
          </w:tcPr>
          <w:p>
            <w:r/>
            <w:r>
              <w:t>Docker, Docker Compose</w:t>
            </w:r>
          </w:p>
        </w:tc>
        <w:tc>
          <w:tcPr>
            <w:tcW w:type="dxa" w:w="2220"/>
          </w:tcPr>
          <w:p>
            <w:r/>
            <w:r>
              <w:t>compose API + PostgreSQL</w:t>
            </w:r>
          </w:p>
        </w:tc>
      </w:tr>
      <w:tr>
        <w:tc>
          <w:tcPr>
            <w:tcW w:type="dxa" w:w="720"/>
          </w:tcPr>
          <w:p>
            <w:r/>
            <w:r>
              <w:t>6</w:t>
            </w:r>
          </w:p>
        </w:tc>
        <w:tc>
          <w:tcPr>
            <w:tcW w:type="dxa" w:w="1400"/>
          </w:tcPr>
          <w:p>
            <w:r/>
            <w:r>
              <w:t>Fase 6 — CI/CD + Azure</w:t>
            </w:r>
          </w:p>
        </w:tc>
        <w:tc>
          <w:tcPr>
            <w:tcW w:type="dxa" w:w="1500"/>
          </w:tcPr>
          <w:p>
            <w:r/>
            <w:r>
              <w:t>GitHub Actions, Azure</w:t>
            </w:r>
          </w:p>
        </w:tc>
        <w:tc>
          <w:tcPr>
            <w:tcW w:type="dxa" w:w="2800"/>
          </w:tcPr>
          <w:p>
            <w:r/>
            <w:r>
              <w:t>CI/CD, GitHub Actions, Azure App Service, Azure SQL</w:t>
            </w:r>
          </w:p>
        </w:tc>
        <w:tc>
          <w:tcPr>
            <w:tcW w:type="dxa" w:w="2220"/>
          </w:tcPr>
          <w:p>
            <w:r/>
            <w:r>
              <w:t>Pipeline verde + deploy</w:t>
            </w:r>
          </w:p>
        </w:tc>
      </w:tr>
      <w:tr>
        <w:tc>
          <w:tcPr>
            <w:tcW w:type="dxa" w:w="720"/>
          </w:tcPr>
          <w:p>
            <w:r/>
            <w:r>
              <w:t>7</w:t>
            </w:r>
          </w:p>
        </w:tc>
        <w:tc>
          <w:tcPr>
            <w:tcW w:type="dxa" w:w="1400"/>
          </w:tcPr>
          <w:p>
            <w:r/>
            <w:r>
              <w:t>Fase 7 — Hardening</w:t>
            </w:r>
          </w:p>
        </w:tc>
        <w:tc>
          <w:tcPr>
            <w:tcW w:type="dxa" w:w="1500"/>
          </w:tcPr>
          <w:p>
            <w:r/>
            <w:r>
              <w:t>Azure, observabilidad</w:t>
            </w:r>
          </w:p>
        </w:tc>
        <w:tc>
          <w:tcPr>
            <w:tcW w:type="dxa" w:w="2800"/>
          </w:tcPr>
          <w:p>
            <w:r/>
            <w:r>
              <w:t>Azure Key Vault, Application Insights</w:t>
            </w:r>
          </w:p>
        </w:tc>
        <w:tc>
          <w:tcPr>
            <w:tcW w:type="dxa" w:w="2220"/>
          </w:tcPr>
          <w:p>
            <w:r/>
            <w:r>
              <w:t>Caso de estudio</w:t>
            </w:r>
          </w:p>
        </w:tc>
      </w:tr>
      <w:tr>
        <w:tc>
          <w:tcPr>
            <w:tcW w:type="dxa" w:w="720"/>
          </w:tcPr>
          <w:p>
            <w:r/>
            <w:r>
              <w:t>8-9</w:t>
            </w:r>
          </w:p>
        </w:tc>
        <w:tc>
          <w:tcPr>
            <w:tcW w:type="dxa" w:w="1400"/>
          </w:tcPr>
          <w:p>
            <w:r/>
            <w:r>
              <w:t>Fase 8 — Frontend</w:t>
            </w:r>
          </w:p>
        </w:tc>
        <w:tc>
          <w:tcPr>
            <w:tcW w:type="dxa" w:w="1500"/>
          </w:tcPr>
          <w:p>
            <w:r/>
            <w:r>
              <w:t>React, TypeScript, JWT</w:t>
            </w:r>
          </w:p>
        </w:tc>
        <w:tc>
          <w:tcPr>
            <w:tcW w:type="dxa" w:w="2800"/>
          </w:tcPr>
          <w:p>
            <w:r/>
            <w:r>
              <w:t>React, TypeScript, JWT</w:t>
            </w:r>
          </w:p>
        </w:tc>
        <w:tc>
          <w:tcPr>
            <w:tcW w:type="dxa" w:w="2220"/>
          </w:tcPr>
          <w:p>
            <w:r/>
            <w:r>
              <w:t>Frontend conectado</w:t>
            </w:r>
          </w:p>
        </w:tc>
      </w:tr>
      <w:tr>
        <w:tc>
          <w:tcPr>
            <w:tcW w:type="dxa" w:w="720"/>
          </w:tcPr>
          <w:p>
            <w:r/>
            <w:r>
              <w:t>10-11</w:t>
            </w:r>
          </w:p>
        </w:tc>
        <w:tc>
          <w:tcPr>
            <w:tcW w:type="dxa" w:w="1400"/>
          </w:tcPr>
          <w:p>
            <w:r/>
            <w:r>
              <w:t>Entrevistas</w:t>
            </w:r>
          </w:p>
        </w:tc>
        <w:tc>
          <w:tcPr>
            <w:tcW w:type="dxa" w:w="1500"/>
          </w:tcPr>
          <w:p>
            <w:r/>
            <w:r>
              <w:t>SQL Server, algoritmos, inglés</w:t>
            </w:r>
          </w:p>
        </w:tc>
        <w:tc>
          <w:tcPr>
            <w:tcW w:type="dxa" w:w="2800"/>
          </w:tcPr>
          <w:p>
            <w:r/>
            <w:r>
              <w:t>SQL Server, Stored Procedures</w:t>
            </w:r>
          </w:p>
        </w:tc>
        <w:tc>
          <w:tcPr>
            <w:tcW w:type="dxa" w:w="2220"/>
          </w:tcPr>
          <w:p>
            <w:r/>
            <w:r>
              <w:t>Listo para entrevistas</w:t>
            </w:r>
          </w:p>
        </w:tc>
      </w:tr>
      <w:tr>
        <w:tc>
          <w:tcPr>
            <w:tcW w:type="dxa" w:w="720"/>
          </w:tcPr>
          <w:p>
            <w:r/>
            <w:r>
              <w:t>12</w:t>
            </w:r>
          </w:p>
        </w:tc>
        <w:tc>
          <w:tcPr>
            <w:tcW w:type="dxa" w:w="1400"/>
          </w:tcPr>
          <w:p>
            <w:r/>
            <w:r>
              <w:t>Negociación</w:t>
            </w:r>
          </w:p>
        </w:tc>
        <w:tc>
          <w:tcPr>
            <w:tcW w:type="dxa" w:w="1500"/>
          </w:tcPr>
          <w:p>
            <w:r/>
            <w:r>
              <w:t>—</w:t>
            </w:r>
          </w:p>
        </w:tc>
        <w:tc>
          <w:tcPr>
            <w:tcW w:type="dxa" w:w="2800"/>
          </w:tcPr>
          <w:p>
            <w:r/>
            <w:r>
              <w:t>—</w:t>
            </w:r>
          </w:p>
        </w:tc>
        <w:tc>
          <w:tcPr>
            <w:tcW w:type="dxa" w:w="2220"/>
          </w:tcPr>
          <w:p>
            <w:r/>
            <w:r>
              <w:t>Oferta firmada</w:t>
            </w:r>
          </w:p>
        </w:tc>
      </w:tr>
    </w:tbl>
    <w:p>
      <w:pPr>
        <w:pStyle w:val="Heading2"/>
      </w:pPr>
      <w:r>
        <w:t>10.2 Archivos de trabajo</w:t>
      </w:r>
    </w:p>
    <w:p>
      <w:pPr>
        <w:pStyle w:val="ListBullet"/>
      </w:pPr>
      <w:r>
        <w:t>ROADMAP-EMPLEABILIDAD.md — análisis del mercado (17 ofertas), gaps del CV, ofertas objetivo y temario de entrevistas.</w:t>
      </w:r>
    </w:p>
    <w:p>
      <w:pPr>
        <w:pStyle w:val="ListBullet"/>
      </w:pPr>
      <w:r>
        <w:t>PLAN-INTEGRADO-EMPLEABILIDAD.md — plan maestro operativo: mapa habilidades → fases → semanas y plan semanal combinado (técnico + búsqueda).</w:t>
      </w:r>
    </w:p>
    <w:p>
      <w:pPr>
        <w:pStyle w:val="ListBullet"/>
      </w:pPr>
      <w:r>
        <w:t>Este documento — referencia técnica: arquitectura, ADRs 001-027, diseño de BD y fases 1-7.</w:t>
      </w:r>
    </w:p>
    <w:p>
      <w:pPr/>
      <w:r>
        <w:t>Nota (2026-08-18): esta sección se añadió para integrar los archivos de empleabilidad; el resto del documento no cambia. El orden técnico de trabajo sigue siendo el de la sección 9.2.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