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GymTracker V2 — Documentación técnica</w:t>
      </w:r>
    </w:p>
    <w:p>
      <w:r>
        <w:t>Arquitectura, dominio, base de datos, roadmap y registro de decisiones (referencia única de trabajo).</w:t>
      </w:r>
    </w:p>
    <w:p>
      <w:r>
        <w:rPr>
          <w:i/>
        </w:rPr>
        <w:t>Versión 2.0 | Última actualización: 2026-08-20 | Estado: Fase 1 (Domain) completada — Fase 2 (Identity + EF Core + PostgreSQL) completada — Fase 3 (Feature Routine) en preparación | Plan de empleabilidad integrado (sección 10) | Proyecto: rediseño de GymTracker con ASP.NET Core + Clean Architecture + DDD (caso de estudio del curso).</w:t>
      </w:r>
    </w:p>
    <w:p>
      <w:pPr>
        <w:pStyle w:val="Heading1"/>
      </w:pPr>
      <w:r>
        <w:t>1. Estado actual (TL;DR — leer primero)</w:t>
      </w:r>
    </w:p>
    <w:p>
      <w:pPr>
        <w:pStyle w:val="Heading2"/>
      </w:pPr>
      <w:r>
        <w:t>1.1 Dónde estamos</w:t>
      </w:r>
    </w:p>
    <w:p>
      <w:pPr>
        <w:pStyle w:val="ListBullet"/>
      </w:pPr>
      <w:r>
        <w:t>Proyecto: rediseño de GymTracker (hoy una PWA en index.html) como aplicación ASP.NET Core con Clean Architecture y DDD; ya no es una migración sino un rediseño (ADR-027).</w:t>
      </w:r>
    </w:p>
    <w:p>
      <w:pPr>
        <w:pStyle w:val="ListBullet"/>
      </w:pPr>
      <w:r>
        <w:t>Fase 1 (Domain) COMPLETADA y verificada: la solución net8.0 compila con 0 warnings y 0 errores; 42/42 tests en GymTracker.Tests.</w:t>
      </w:r>
    </w:p>
    <w:p>
      <w:pPr>
        <w:pStyle w:val="ListBullet"/>
      </w:pPr>
      <w:r>
        <w:t>Fase 2 (Identity + EF Core + PostgreSQL) COMPLETADA (2026-08-20): migración InitialCreate aplicada y seed del catálogo con HasData (111 ejercicios). Siguiente paso: Fase 3 (Feature Routine).</w:t>
      </w:r>
    </w:p>
    <w:p>
      <w:pPr>
        <w:pStyle w:val="ListBullet"/>
      </w:pPr>
      <w:r>
        <w:t>Ruta del código: Migration/GymTraker V2/GymTracker/ (solución GymTracker.sln; proyectos Domain, Application, Infrastructure, Api y Tests).</w:t>
      </w:r>
    </w:p>
    <w:p>
      <w:pPr>
        <w:pStyle w:val="Heading2"/>
      </w:pPr>
      <w:r>
        <w:t>1.2 Decisiones clave vigentes</w:t>
      </w:r>
    </w:p>
    <w:p>
      <w:pPr>
        <w:pStyle w:val="ListBullet"/>
      </w:pPr>
      <w:r>
        <w:t>Identity se integra desde el inicio del DbContext (ADR-021).</w:t>
      </w:r>
    </w:p>
    <w:p>
      <w:pPr>
        <w:pStyle w:val="ListBullet"/>
      </w:pPr>
      <w:r>
        <w:t>Autenticación = Identity + Google + JWT, Opción A (ADR-022).</w:t>
      </w:r>
    </w:p>
    <w:p>
      <w:pPr>
        <w:pStyle w:val="ListBullet"/>
      </w:pPr>
      <w:r>
        <w:t>PostgreSQL por Docker, «docker compose up» (ADR-023).</w:t>
      </w:r>
    </w:p>
    <w:p>
      <w:pPr>
        <w:pStyle w:val="ListBullet"/>
      </w:pPr>
      <w:r>
        <w:t>Trabajo por vertical slices: una feature completa por sprint (ADR-024).</w:t>
      </w:r>
    </w:p>
    <w:p>
      <w:pPr>
        <w:pStyle w:val="ListBullet"/>
      </w:pPr>
      <w:r>
        <w:t>Smoke test con index.html al cerrar cada feature (ADR-025).</w:t>
      </w:r>
    </w:p>
    <w:p>
      <w:pPr>
        <w:pStyle w:val="ListBullet"/>
      </w:pPr>
      <w:r>
        <w:t>Capa Application explícita: DTO + Validator + Repository + Command + Controller (ADR-026).</w:t>
      </w:r>
    </w:p>
    <w:p>
      <w:pPr>
        <w:pStyle w:val="ListBullet"/>
      </w:pPr>
      <w:r>
        <w:t>Entidades con Value Objects: Name, Repetitions, Weight (ADR-010).</w:t>
      </w:r>
    </w:p>
    <w:p>
      <w:pPr>
        <w:pStyle w:val="Heading2"/>
      </w:pPr>
      <w:r>
        <w:t>1.3 Cómo leer este documento</w:t>
      </w:r>
    </w:p>
    <w:p>
      <w:pPr>
        <w:pStyle w:val="ListBullet"/>
      </w:pPr>
      <w:r>
        <w:t>Secciones 2–6: contexto, app actual, arquitectura, dominio y diseño de BD (referencia).</w:t>
      </w:r>
    </w:p>
    <w:p>
      <w:pPr>
        <w:pStyle w:val="ListBullet"/>
      </w:pPr>
      <w:r>
        <w:t>Sección 7: registro único de ADRs 001–027 (una sola fuente de verdad para decisiones).</w:t>
      </w:r>
    </w:p>
    <w:p>
      <w:pPr>
        <w:pStyle w:val="ListBullet"/>
      </w:pPr>
      <w:r>
        <w:t>Sección 8: roadmap por fases con estado y principio rector.</w:t>
      </w:r>
    </w:p>
    <w:p>
      <w:pPr>
        <w:pStyle w:val="ListBullet"/>
      </w:pPr>
      <w:r>
        <w:t>Sección 9: progreso detallado y plan exacto de la próxima sesión.</w:t>
      </w:r>
    </w:p>
    <w:p>
      <w:pPr>
        <w:pStyle w:val="ListBullet"/>
      </w:pPr>
      <w:r>
        <w:t>Sección 10: plan de empleabilidad (integración con el mercado y los archivos de trabajo).</w:t>
      </w:r>
    </w:p>
    <w:p>
      <w:pPr>
        <w:pStyle w:val="Heading1"/>
      </w:pPr>
      <w:r>
        <w:t>2. Visión y objetivos</w:t>
      </w:r>
    </w:p>
    <w:p>
      <w:pPr>
        <w:pStyle w:val="Heading2"/>
      </w:pPr>
      <w:r>
        <w:t>2.1 Objetivo del proyecto</w:t>
      </w:r>
    </w:p>
    <w:p>
      <w:r>
        <w:t>GymTracker ayuda a planificar, registrar y analizar entrenamientos de fuerza. Este documento centraliza el rediseño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3"/>
      </w:pPr>
      <w:r>
        <w:t>2.1.1 Objetivo reformulado (2026-08-03)</w:t>
      </w:r>
    </w:p>
    <w:p>
      <w:r>
        <w:t>El objetivo pasó de «migrar index.html a ASP.NET» a «construir una aplicación moderna con ASP.NET Core, Clean Architecture y DDD, usando GymTracker como caso de estudio». Ya no se porta código: se rediseña el sistema aplicando las prácticas del curso; cada decisión se toma como diseño, no como port (ADR-027). index.html se conserva como referencia funcional y como cliente para los smoke tests de cada feature (ADR-025).</w:t>
      </w:r>
    </w:p>
    <w:p>
      <w:pPr>
        <w:pStyle w:val="Heading2"/>
      </w:pPr>
      <w:r>
        <w:t>2.2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2.3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2.4 Alcance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1"/>
      </w:pPr>
      <w:r>
        <w:t>3. App actual (index.html) — referencia funcional</w:t>
      </w:r>
    </w:p>
    <w:p>
      <w:pPr>
        <w:pStyle w:val="Heading2"/>
      </w:pPr>
      <w:r>
        <w:t>3.1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Funcionalidad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>
      <w:pPr>
        <w:pStyle w:val="Heading2"/>
      </w:pPr>
      <w:r>
        <w:t>3.2 Modelo de datos actual (Firebase)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pPr>
        <w:pStyle w:val="Heading2"/>
      </w:pPr>
      <w:r>
        <w:t>3.3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 del modelo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Impacto en ASP.NET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>
      <w:pPr>
        <w:pStyle w:val="Heading1"/>
      </w:pPr>
      <w:r>
        <w:t>4. Arquitectura objetivo</w:t>
      </w:r>
    </w:p>
    <w:p>
      <w:pPr>
        <w:pStyle w:val="Heading2"/>
      </w:pPr>
      <w:r>
        <w:t>4.1 Capas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>
      <w:pPr>
        <w:pStyle w:val="Heading2"/>
      </w:pPr>
      <w:r>
        <w:t>4.2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4.3 Diagramas</w:t>
      </w:r>
    </w:p>
    <w:p>
      <w:r>
        <w:t>Ver: Arquitectura general.png y Arquitectura de la solución.png</w:t>
      </w:r>
    </w:p>
    <w:p>
      <w:pPr>
        <w:pStyle w:val="Heading1"/>
      </w:pPr>
      <w:r>
        <w:t>5. Modelo de dominio</w:t>
      </w:r>
    </w:p>
    <w:p>
      <w:pPr>
        <w:pStyle w:val="Heading2"/>
      </w:pPr>
      <w:r>
        <w:t>5.1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>
      <w:pPr>
        <w:pStyle w:val="Heading2"/>
      </w:pPr>
      <w:r>
        <w:t>5.2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5.3 Value Objects (implementados en Fase 1)</w:t>
      </w:r>
    </w:p>
    <w:p>
      <w:r>
        <w:t>Las entidades nunca reciben primitivos donde existe una abstracción del dominio (ADR-010). Los tres Value Objects viven en GymTracker.Domain/ValueObjects y encapsulan sus invariantes: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Value 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usa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No vacío; se recorta (trim)</w:t>
            </w:r>
          </w:p>
        </w:tc>
        <w:tc>
          <w:tcPr>
            <w:tcW w:type="dxa" w:w="2880"/>
          </w:tcPr>
          <w:p>
            <w:r>
              <w:t>Routine, WorkoutSession, SessionExercise, Workout (RoutineName/SessionName), WorkoutExercise, ExerciseCatalogEntry, ExerciseNote, UserExercisePreference, CompletedTrainingCycle, TrainingCycle.Complete()</w:t>
            </w:r>
          </w:p>
        </w:tc>
      </w:tr>
      <w:tr>
        <w:tc>
          <w:tcPr>
            <w:tcW w:type="dxa" w:w="2880"/>
          </w:tcPr>
          <w:p>
            <w:r>
              <w:t>Repetitions</w:t>
            </w:r>
          </w:p>
        </w:tc>
        <w:tc>
          <w:tcPr>
            <w:tcW w:type="dxa" w:w="2880"/>
          </w:tcPr>
          <w:p>
            <w:r>
              <w:t>&gt;= 0</w:t>
            </w:r>
          </w:p>
        </w:tc>
        <w:tc>
          <w:tcPr>
            <w:tcW w:type="dxa" w:w="2880"/>
          </w:tcPr>
          <w:p>
            <w:r>
              <w:t>WorkoutSet.Reps, WorkoutExercise.AddSet()</w:t>
            </w:r>
          </w:p>
        </w:tc>
      </w:tr>
      <w:tr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&gt;= 0 (decimal, kg)</w:t>
            </w:r>
          </w:p>
        </w:tc>
        <w:tc>
          <w:tcPr>
            <w:tcW w:type="dxa" w:w="2880"/>
          </w:tcPr>
          <w:p>
            <w:r>
              <w:t>WorkoutSet.Weight, WorkoutExercise.AddSet()</w:t>
            </w:r>
          </w:p>
        </w:tc>
      </w:tr>
    </w:tbl>
    <w:p>
      <w:r>
        <w:rPr>
          <w:i/>
        </w:rPr>
        <w:t>Nota EF Core (Fase 2): los VOs se mapean con value converters; las columnas de BD siguen siendo primitivas (string/int/decimal), por lo que el diccionario de datos de la sección 6.3 no cambia. Los métodos públicos de las entidades reciben VOs; los internal de wiring (Renumber, SetXxxId) siguen primitivos (ADR-018).</w:t>
      </w:r>
    </w:p>
    <w:p>
      <w:pPr>
        <w:pStyle w:val="Heading2"/>
      </w:pPr>
      <w:r>
        <w:t>5.4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>
      <w:pPr>
        <w:pStyle w:val="Heading1"/>
      </w:pPr>
      <w:r>
        <w:t>6. Diseño de base de datos (PostgreSQL)</w:t>
      </w:r>
    </w:p>
    <w:p>
      <w:pPr>
        <w:pStyle w:val="Heading2"/>
      </w:pPr>
      <w:r>
        <w:t>6.1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6.9)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6.2 Modelo relacional</w:t>
      </w:r>
    </w:p>
    <w:p>
      <w:pPr>
        <w:pStyle w:val="ListBullet"/>
      </w:pPr>
      <w:r>
        <w:t>ApplicationUser → Routines → WorkoutSessions → SessionExercises</w:t>
      </w:r>
    </w:p>
    <w:p>
      <w:pPr>
        <w:pStyle w:val="ListBullet"/>
      </w:pPr>
      <w:r>
        <w:t>ApplicationUser → Workouts → WorkoutExercises → WorkoutSets</w:t>
      </w:r>
    </w:p>
    <w:p>
      <w:pPr>
        <w:pStyle w:val="ListBullet"/>
      </w:pPr>
      <w:r>
        <w:t>ApplicationUser → TrainingCycle (0..1) | CompletedTrainingCycles | UserSettings | ExerciseNotes | UserExercisePreferences</w:t>
      </w:r>
    </w:p>
    <w:p>
      <w:pPr>
        <w:pStyle w:val="ListBullet"/>
      </w:pPr>
      <w:r>
        <w:t>ExerciseCatalogEntries (seed global, sin UserId)</w:t>
      </w:r>
    </w:p>
    <w:p>
      <w:pPr>
        <w:pStyle w:val="Heading2"/>
      </w:pPr>
      <w:r>
        <w:t>6.3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>
      <w:r>
        <w:rPr>
          <w:i/>
        </w:rPr>
        <w:t>Nota de implementación: ExerciseNote y UserExercisePreference usan Guid Id (base Entity) + índice único (UserId, ExerciseName) en lugar de la PK compuesta del diccionario (ADR-011).</w:t>
      </w:r>
    </w:p>
    <w:p>
      <w:pPr>
        <w:pStyle w:val="Heading2"/>
      </w:pPr>
      <w:r>
        <w:t>6.4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Firebase (index.html)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>
      <w:pPr>
        <w:pStyle w:val="Heading2"/>
      </w:pPr>
      <w:r>
        <w:t>6.5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Índice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>
      <w:pPr>
        <w:pStyle w:val="Heading2"/>
      </w:pPr>
      <w:r>
        <w:t>6.6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>
      <w:pPr>
        <w:pStyle w:val="Heading2"/>
      </w:pPr>
      <w:r>
        <w:t>6.7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6.8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>
      <w:pPr>
        <w:pStyle w:val="Heading2"/>
      </w:pPr>
      <w:r>
        <w:t>6.9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 futuro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>
      <w:pPr>
        <w:pStyle w:val="Heading1"/>
      </w:pPr>
      <w:r>
        <w:t>7. Registro de decisiones (ADR)</w:t>
      </w:r>
    </w:p>
    <w:p>
      <w:r>
        <w:t>Registro único y completo de decisiones (ADR-001 a ADR-027). Estado: «Implementado» = ya reflejado en código; «Aceptado» = decisión tomada que se implementará en la fase indicada.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ADR-001</w:t>
            </w:r>
          </w:p>
        </w:tc>
        <w:tc>
          <w:tcPr>
            <w:tcW w:type="dxa" w:w="2160"/>
          </w:tcPr>
          <w:p>
            <w:r>
              <w:t>Clean Architecture 4 capas</w:t>
            </w:r>
          </w:p>
        </w:tc>
        <w:tc>
          <w:tcPr>
            <w:tcW w:type="dxa" w:w="2160"/>
          </w:tcPr>
          <w:p>
            <w:r>
              <w:t>Mantenibilidad sin over-engineering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ADR-002</w:t>
            </w:r>
          </w:p>
        </w:tc>
        <w:tc>
          <w:tcPr>
            <w:tcW w:type="dxa" w:w="2160"/>
          </w:tcPr>
          <w:p>
            <w:r>
              <w:t>Identity + Google</w:t>
            </w:r>
          </w:p>
        </w:tc>
        <w:tc>
          <w:tcPr>
            <w:tcW w:type="dxa" w:w="2160"/>
          </w:tcPr>
          <w:p>
            <w:r>
              <w:t>Igual que app actual</w:t>
            </w:r>
          </w:p>
        </w:tc>
        <w:tc>
          <w:tcPr>
            <w:tcW w:type="dxa" w:w="2160"/>
          </w:tcPr>
          <w:p>
            <w:r>
              <w:t>Aceptado (Fase 2–3)</w:t>
            </w:r>
          </w:p>
        </w:tc>
      </w:tr>
      <w:tr>
        <w:tc>
          <w:tcPr>
            <w:tcW w:type="dxa" w:w="2160"/>
          </w:tcPr>
          <w:p>
            <w:r>
              <w:t>ADR-003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EF Core + Azure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ADR-004</w:t>
            </w:r>
          </w:p>
        </w:tc>
        <w:tc>
          <w:tcPr>
            <w:tcW w:type="dxa" w:w="2160"/>
          </w:tcPr>
          <w:p>
            <w:r>
              <w:t>Snapshot en SessionExercise y Workout</w:t>
            </w:r>
          </w:p>
        </w:tc>
        <w:tc>
          <w:tcPr>
            <w:tcW w:type="dxa" w:w="2160"/>
          </w:tcPr>
          <w:p>
            <w:r>
              <w:t>Historial estable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ADR-005</w:t>
            </w:r>
          </w:p>
        </w:tc>
        <w:tc>
          <w:tcPr>
            <w:tcW w:type="dxa" w:w="2160"/>
          </w:tcPr>
          <w:p>
            <w:r>
              <w:t>Historial = Workout</w:t>
            </w:r>
          </w:p>
        </w:tc>
        <w:tc>
          <w:tcPr>
            <w:tcW w:type="dxa" w:w="2160"/>
          </w:tcPr>
          <w:p>
            <w:r>
              <w:t>Una fuente de verdad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ADR-006</w:t>
            </w:r>
          </w:p>
        </w:tc>
        <w:tc>
          <w:tcPr>
            <w:tcW w:type="dxa" w:w="2160"/>
          </w:tcPr>
          <w:p>
            <w:r>
              <w:t>PR calculado; tabla opcional después</w:t>
            </w:r>
          </w:p>
        </w:tc>
        <w:tc>
          <w:tcPr>
            <w:tcW w:type="dxa" w:w="2160"/>
          </w:tcPr>
          <w:p>
            <w:r>
              <w:t>Paridad con index.html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ADR-007</w:t>
            </w:r>
          </w:p>
        </w:tc>
        <w:tc>
          <w:tcPr>
            <w:tcW w:type="dxa" w:w="2160"/>
          </w:tcPr>
          <w:p>
            <w:r>
              <w:t>TrainingCycle ≠ Routine.IsActive</w:t>
            </w:r>
          </w:p>
        </w:tc>
        <w:tc>
          <w:tcPr>
            <w:tcW w:type="dxa" w:w="2160"/>
          </w:tcPr>
          <w:p>
            <w:r>
              <w:t>Refleja activeCycle real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ADR-008</w:t>
            </w:r>
          </w:p>
        </w:tc>
        <w:tc>
          <w:tcPr>
            <w:tcW w:type="dxa" w:w="2160"/>
          </w:tcPr>
          <w:p>
            <w:r>
              <w:t>Migración Strangler</w:t>
            </w:r>
          </w:p>
        </w:tc>
        <w:tc>
          <w:tcPr>
            <w:tcW w:type="dxa" w:w="2160"/>
          </w:tcPr>
          <w:p>
            <w:r>
              <w:t>index.html vivo durante transición</w:t>
            </w:r>
          </w:p>
        </w:tc>
        <w:tc>
          <w:tcPr>
            <w:tcW w:type="dxa" w:w="2160"/>
          </w:tcPr>
          <w:p>
            <w:r>
              <w:t>Aceptado (en curso)</w:t>
            </w:r>
          </w:p>
        </w:tc>
      </w:tr>
      <w:tr>
        <w:tc>
          <w:tcPr>
            <w:tcW w:type="dxa" w:w="2160"/>
          </w:tcPr>
          <w:p>
            <w:r>
              <w:t>ADR-009</w:t>
            </w:r>
          </w:p>
        </w:tc>
        <w:tc>
          <w:tcPr>
            <w:tcW w:type="dxa" w:w="2160"/>
          </w:tcPr>
          <w:p>
            <w:r>
              <w:t>ON DELETE CASCADE solo en planificación</w:t>
            </w:r>
          </w:p>
        </w:tc>
        <w:tc>
          <w:tcPr>
            <w:tcW w:type="dxa" w:w="2160"/>
          </w:tcPr>
          <w:p>
            <w:r>
              <w:t>Historial preservado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ADR-010</w:t>
            </w:r>
          </w:p>
        </w:tc>
        <w:tc>
          <w:tcPr>
            <w:tcW w:type="dxa" w:w="2160"/>
          </w:tcPr>
          <w:p>
            <w:r>
              <w:t>Value Objects en las entidades</w:t>
            </w:r>
          </w:p>
        </w:tc>
        <w:tc>
          <w:tcPr>
            <w:tcW w:type="dxa" w:w="2160"/>
          </w:tcPr>
          <w:p>
            <w:r>
              <w:t>Las entidades reciben Name, Repetitions y Weight (Value Objects) en sus constructores y métodos de dominio; nunca un string/int/decimal crudo donde ya existe la abstracción. Motivo: las reglas del concepto (nombre no vacío y recortado, reps ≥ 0, peso ≥ 0) viven en un solo lugar y es imposible crear estado inválido desde fuera. Costo: en Fase 2 se mapean con value converters de EF Core; las columnas de BD siguen siendo primitivas, el diccionario 6.3 no cambia.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ADR-011</w:t>
            </w:r>
          </w:p>
        </w:tc>
        <w:tc>
          <w:tcPr>
            <w:tcW w:type="dxa" w:w="2160"/>
          </w:tcPr>
          <w:p>
            <w:r>
              <w:t>Clave surrogada en ExerciseNote y UserExercisePreference</w:t>
            </w:r>
          </w:p>
        </w:tc>
        <w:tc>
          <w:tcPr>
            <w:tcW w:type="dxa" w:w="2160"/>
          </w:tcPr>
          <w:p>
            <w:r>
              <w:t>Guid Id (base Entity) + índice único (UserId, ExerciseName) en lugar de la PK compuesta del diccionario. Motivo: homogeneidad con la base Entity con la misma integridad. Alternativa: PK compuesta con Fluent API en Fase 2.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ADR-012</w:t>
            </w:r>
          </w:p>
        </w:tc>
        <w:tc>
          <w:tcPr>
            <w:tcW w:type="dxa" w:w="2160"/>
          </w:tcPr>
          <w:p>
            <w:r>
              <w:t>DisplayOrder en WorkoutExercise</w:t>
            </w:r>
          </w:p>
        </w:tc>
        <w:tc>
          <w:tcPr>
            <w:tcW w:type="dxa" w:w="2160"/>
          </w:tcPr>
          <w:p>
            <w:r>
              <w:t>El diccionario no lo contemplaba; se agregó. Motivo: el historial de index.html muestra los ejercicios en orden; sin esta columna se perdía funcionalidad al migrar.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ADR-013</w:t>
            </w:r>
          </w:p>
        </w:tc>
        <w:tc>
          <w:tcPr>
            <w:tcW w:type="dxa" w:w="2160"/>
          </w:tcPr>
          <w:p>
            <w:r>
              <w:t>Orden canónico = orden de lista</w:t>
            </w:r>
          </w:p>
        </w:tc>
        <w:tc>
          <w:tcPr>
            <w:tcW w:type="dxa" w:w="2160"/>
          </w:tcPr>
          <w:p>
            <w:r>
              <w:t>Invariante lista[i].DisplayOrder == i (y lista[i].SetNumber == i + 1 para series): el renumber recorre la lista en su orden y nunca reordena por DisplayOrder. Motivo: una sola fuente de verdad evita divergencias; los tests detectaron el bug en la primera versión.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ADR-014</w:t>
            </w:r>
          </w:p>
        </w:tc>
        <w:tc>
          <w:tcPr>
            <w:tcW w:type="dxa" w:w="2160"/>
          </w:tcPr>
          <w:p>
            <w:r>
              <w:t>DomainException vs ArgumentException</w:t>
            </w:r>
          </w:p>
        </w:tc>
        <w:tc>
          <w:tcPr>
            <w:tcW w:type="dxa" w:w="2160"/>
          </w:tcPr>
          <w:p>
            <w:r>
              <w:t>Reglas de negocio lanzan DomainException; validación de argumentos lanza las excepciones estándar. Motivo: distingue estado inválido de uso incorrecto de la API; el middleware podrá mapear DomainException a 409/422 y los argumentos a 400.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ADR-015</w:t>
            </w:r>
          </w:p>
        </w:tc>
        <w:tc>
          <w:tcPr>
            <w:tcW w:type="dxa" w:w="2160"/>
          </w:tcPr>
          <w:p>
            <w:r>
              <w:t>Enums alineados a la app</w:t>
            </w:r>
          </w:p>
        </w:tc>
        <w:tc>
          <w:tcPr>
            <w:tcW w:type="dxa" w:w="2160"/>
          </w:tcPr>
          <w:p>
            <w:r>
              <w:t>ExerciseType = Standard/Bodyweight/Weighted/Time; PrStatus = New/Matched + null; Laterality = Bilateral/Unilateral; Theme = Light/Dark. Motivo: el modelo refleja el dominio real del producto, no un catálogo genérico.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ADR-016</w:t>
            </w:r>
          </w:p>
        </w:tc>
        <w:tc>
          <w:tcPr>
            <w:tcW w:type="dxa" w:w="2160"/>
          </w:tcPr>
          <w:p>
            <w:r>
              <w:t>Timer validado</w:t>
            </w:r>
          </w:p>
        </w:tc>
        <w:tc>
          <w:tcPr>
            <w:tcW w:type="dxa" w:w="2160"/>
          </w:tcPr>
          <w:p>
            <w:r>
              <w:t>UserSettings: prep ≥ 0, work ≥ 1, rest ≥ 1, sets ≥ 1; defaults 10/40/20/5 tomados de index.html. Motivo: un intervalo de trabajo o descanso de 0 s no tiene sentido.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ADR-017</w:t>
            </w:r>
          </w:p>
        </w:tc>
        <w:tc>
          <w:tcPr>
            <w:tcW w:type="dxa" w:w="2160"/>
          </w:tcPr>
          <w:p>
            <w:r>
              <w:t>Longitud máxima de nombres por entidad</w:t>
            </w:r>
          </w:p>
        </w:tc>
        <w:tc>
          <w:tcPr>
            <w:tcW w:type="dxa" w:w="2160"/>
          </w:tcPr>
          <w:p>
            <w:r>
              <w:t>Routine/WorkoutSession = 100; SessionExercise/WorkoutExercise/ExerciseCatalogEntry = 150, validada en la entidad; el VO Name garantiza no vacío + trim. Motivo: la longitud es regla de cada agregado; el no-vacío es regla del concepto.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ADR-018</w:t>
            </w:r>
          </w:p>
        </w:tc>
        <w:tc>
          <w:tcPr>
            <w:tcW w:type="dxa" w:w="2160"/>
          </w:tcPr>
          <w:p>
            <w:r>
              <w:t>API de entidades con Value Objects</w:t>
            </w:r>
          </w:p>
        </w:tc>
        <w:tc>
          <w:tcPr>
            <w:tcW w:type="dxa" w:w="2160"/>
          </w:tcPr>
          <w:p>
            <w:r>
              <w:t>Los métodos públicos reciben VOs (Rename(Name), AddSet(Repetitions, Weight)); los internal de wiring (Renumber(int), SetXxxId(Guid)) siguen primitivos. Motivo: el límite del dominio exige abstracciones; el wiring de EF es mecanismo interno.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ADR-019</w:t>
            </w:r>
          </w:p>
        </w:tc>
        <w:tc>
          <w:tcPr>
            <w:tcW w:type="dxa" w:w="2160"/>
          </w:tcPr>
          <w:p>
            <w:r>
              <w:t>Sin GlobalUsings</w:t>
            </w:r>
          </w:p>
        </w:tc>
        <w:tc>
          <w:tcPr>
            <w:tcW w:type="dxa" w:w="2160"/>
          </w:tcPr>
          <w:p>
            <w:r>
              <w:t>Cada archivo declara sus usings explícitamente. Motivo: claridad para aprendizaje; un GlobalUsings ocultaría la procedencia de los tipos.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ADR-020</w:t>
            </w:r>
          </w:p>
        </w:tc>
        <w:tc>
          <w:tcPr>
            <w:tcW w:type="dxa" w:w="2160"/>
          </w:tcPr>
          <w:p>
            <w:r>
              <w:t>Tests de dominio desde Fase 1</w:t>
            </w:r>
          </w:p>
        </w:tc>
        <w:tc>
          <w:tcPr>
            <w:tcW w:type="dxa" w:w="2160"/>
          </w:tcPr>
          <w:p>
            <w:r>
              <w:t>42 casos en GymTracker.Tests cubren Routine, WorkoutSession, TrainingCycle, Workout y UserSettings. Motivo: red de seguridad inmediata; ya detectaron el bug de reordenamiento.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ADR-021</w:t>
            </w:r>
          </w:p>
        </w:tc>
        <w:tc>
          <w:tcPr>
            <w:tcW w:type="dxa" w:w="2160"/>
          </w:tcPr>
          <w:p>
            <w:r>
              <w:t>Identity integrado desde el inicio</w:t>
            </w:r>
          </w:p>
        </w:tc>
        <w:tc>
          <w:tcPr>
            <w:tcW w:type="dxa" w:w="2160"/>
          </w:tcPr>
          <w:p>
            <w:r>
              <w:t>El DbContext se crea ya como IdentityDbContext&lt;ApplicationUser&gt; en la Fase 2, junto con EF Core y PostgreSQL. Motivo: un solo historial de migraciones; evita cambiar la clase base y rehacer migraciones.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ADR-022</w:t>
            </w:r>
          </w:p>
        </w:tc>
        <w:tc>
          <w:tcPr>
            <w:tcW w:type="dxa" w:w="2160"/>
          </w:tcPr>
          <w:p>
            <w:r>
              <w:t>Autenticación: Identity + Google + JWT (Opción A)</w:t>
            </w:r>
          </w:p>
        </w:tc>
        <w:tc>
          <w:tcPr>
            <w:tcW w:type="dxa" w:w="2160"/>
          </w:tcPr>
          <w:p>
            <w:r>
              <w:t>Se elige ASP.NET Identity con Google como proveedor externo y JWT bearer. Motivo: practicar el stack profesional (Identity, JWT, claims, authorization, roles/policies; refresh tokens como extensión futura). Firebase Auth queda descartado para la V2; index.html deberá cambiar su login.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ADR-023</w:t>
            </w:r>
          </w:p>
        </w:tc>
        <w:tc>
          <w:tcPr>
            <w:tcW w:type="dxa" w:w="2160"/>
          </w:tcPr>
          <w:p>
            <w:r>
              <w:t>PostgreSQL vía Docker</w:t>
            </w:r>
          </w:p>
        </w:tc>
        <w:tc>
          <w:tcPr>
            <w:tcW w:type="dxa" w:w="2160"/>
          </w:tcPr>
          <w:p>
            <w:r>
              <w:t>La base de datos corre con docker compose (imagen postgres). Motivo: portfolio reproducible: cualquier persona levanta API + PostgreSQL en un minuto con «docker compose up».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ADR-024</w:t>
            </w:r>
          </w:p>
        </w:tc>
        <w:tc>
          <w:tcPr>
            <w:tcW w:type="dxa" w:w="2160"/>
          </w:tcPr>
          <w:p>
            <w:r>
              <w:t>Vertical slices por feature (sprints)</w:t>
            </w:r>
          </w:p>
        </w:tc>
        <w:tc>
          <w:tcPr>
            <w:tcW w:type="dxa" w:w="2160"/>
          </w:tcPr>
          <w:p>
            <w:r>
              <w:t>No se construyen todas las tablas y configuraciones antes del primer endpoint; cada sprint agrega una feature completa de punta a punta. Motivo: resultados visibles cada semana y diseño de APIs que el frontend realmente consume.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ADR-025</w:t>
            </w:r>
          </w:p>
        </w:tc>
        <w:tc>
          <w:tcPr>
            <w:tcW w:type="dxa" w:w="2160"/>
          </w:tcPr>
          <w:p>
            <w:r>
              <w:t>Smoke test E2E después de cada feature</w:t>
            </w:r>
          </w:p>
        </w:tc>
        <w:tc>
          <w:tcPr>
            <w:tcW w:type="dxa" w:w="2160"/>
          </w:tcPr>
          <w:p>
            <w:r>
              <w:t>Al cerrar cada feature se conecta index.html contra la API real (index.html → API → PostgreSQL) y se comprueba el flujo completo. Motivo: validación temprana del stack; forma de trabajo de equipos reales.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ADR-026</w:t>
            </w:r>
          </w:p>
        </w:tc>
        <w:tc>
          <w:tcPr>
            <w:tcW w:type="dxa" w:w="2160"/>
          </w:tcPr>
          <w:p>
            <w:r>
              <w:t>Capa Application explícita por feature</w:t>
            </w:r>
          </w:p>
        </w:tc>
        <w:tc>
          <w:tcPr>
            <w:tcW w:type="dxa" w:w="2160"/>
          </w:tcPr>
          <w:p>
            <w:r>
              <w:t>Cada feature incluye DTO + Validator + Repository + Command/Service + Controller + middleware de errores + tests de integración. Motivo: es el núcleo del aprendizaje buscado (controllers, DTOs, DI, validation, middleware, repositorios).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ADR-027</w:t>
            </w:r>
          </w:p>
        </w:tc>
        <w:tc>
          <w:tcPr>
            <w:tcW w:type="dxa" w:w="2160"/>
          </w:tcPr>
          <w:p>
            <w:r>
              <w:t>Reformulación del proyecto</w:t>
            </w:r>
          </w:p>
        </w:tc>
        <w:tc>
          <w:tcPr>
            <w:tcW w:type="dxa" w:w="2160"/>
          </w:tcPr>
          <w:p>
            <w:r>
              <w:t>De «migrar index.html» a «rediseñar un sistema con ASP.NET Core + Clean Architecture + DDD usando GymTracker como caso de estudio». Motivo: cada decisión se toma como diseño, no como port; el resultado vale más para el aprendizaje y el portafolio.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ADR-028</w:t>
            </w:r>
          </w:p>
        </w:tc>
        <w:tc>
          <w:tcPr>
            <w:tcW w:type="dxa" w:w="2160"/>
          </w:tcPr>
          <w:p>
            <w:r/>
            <w:r>
              <w:t>ExerciseCatalogEntry conserva Guid (hereda Entity); seed del catálogo con HasData usando GUIDs deterministas generados una sola vez</w:t>
            </w:r>
          </w:p>
        </w:tc>
        <w:tc>
          <w:tcPr>
            <w:tcW w:type="dxa" w:w="2160"/>
          </w:tcPr>
          <w:p>
            <w:r/>
            <w:r>
              <w:t>IDs estables y reproducibles para HasData sin cambios de modelo en cada ejecución; consistencia de identidad con los agregados del dominio (Guid); el catálogo es dato de referencia global con Name UNIQUE</w:t>
            </w:r>
          </w:p>
        </w:tc>
        <w:tc>
          <w:tcPr>
            <w:tcW w:type="dxa" w:w="2160"/>
          </w:tcPr>
          <w:p>
            <w:r/>
            <w:r>
              <w:t>Implementado (2026-08-20)</w:t>
            </w:r>
          </w:p>
        </w:tc>
      </w:tr>
    </w:tbl>
    <w:p>
      <w:pPr>
        <w:pStyle w:val="Heading1"/>
      </w:pPr>
      <w:r>
        <w:t>8. Roadmap de implementación</w:t>
      </w:r>
    </w:p>
    <w:p>
      <w:r>
        <w:rPr>
          <w:i/>
        </w:rPr>
        <w:t>Principio rector: nunca más de una semana sin ver resultados (feature → backend → API → frontend → funciona). Cada feature termina con verificación y smoke test cuando corresponde (ADR-024, ADR-025).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Domain completo: Routine, WorkoutSession, SessionExercise, Workout, WorkoutExercise, WorkoutSet, TrainingCycle, CompletedTrainingCycle, ExerciseCatalogEntry, UserSettings, ExerciseNote, UserExercisePreference — ✅ COMPLETADA (2026-08-03)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Identity + EF Core + PostgreSQL: ApplicationUser, GymTrackerDbContext (IdentityDbContext), Fluent API, migraciones,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Application + Feature Routine: DTO, Validator, Repository, Command, Controller, Swagger → Smoke test con index.html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Feature Workout: registro de entrenamiento, historial, PR → Smoke test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Feature TrainingCycle: iniciar / avanzar / completar ciclo → Smoke test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Stats + Calendario + Import/Export → Smoke test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Docker + CI/CD + Deploy</w:t>
            </w:r>
          </w:p>
        </w:tc>
      </w:tr>
    </w:tbl>
    <w:p>
      <w:pPr>
        <w:pStyle w:val="Heading2"/>
      </w:pPr>
      <w:r>
        <w:t>8.1 Procesos por feature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p>
      <w:pPr>
        <w:pStyle w:val="Heading1"/>
      </w:pPr>
      <w:r>
        <w:t>9. Progreso y próxima sesión</w:t>
      </w:r>
    </w:p>
    <w:p>
      <w:r>
        <w:rPr>
          <w:i/>
        </w:rPr>
        <w:t>Actualizado: 2026-08-03. Este documento es la referencia única para retomar el trabajo.</w:t>
      </w:r>
    </w:p>
    <w:p>
      <w:pPr>
        <w:pStyle w:val="Heading2"/>
      </w:pPr>
      <w:r>
        <w:t>9.1 Historial de avance</w:t>
      </w:r>
    </w:p>
    <w:p>
      <w:pPr>
        <w:pStyle w:val="Heading3"/>
      </w:pPr>
      <w:r>
        <w:t>Fase 1 — Domain: COMPLETADA</w:t>
      </w:r>
    </w:p>
    <w:p>
      <w:pPr>
        <w:pStyle w:val="ListBullet"/>
      </w:pPr>
      <w:r>
        <w:t>Solución compila con 0 warnings y 0 errores (net8.0).</w:t>
      </w:r>
    </w:p>
    <w:p>
      <w:pPr>
        <w:pStyle w:val="ListBullet"/>
      </w:pPr>
      <w:r>
        <w:t>42/42 tests de dominio correctos en GymTracker.Tests.</w:t>
      </w:r>
    </w:p>
    <w:p>
      <w:pPr>
        <w:pStyle w:val="ListBullet"/>
      </w:pPr>
      <w:r>
        <w:t>12 entidades implementadas con Value Objects (Name, Repetitions, Weight) — ADR-010..020.</w:t>
      </w:r>
    </w:p>
    <w:p>
      <w:pPr>
        <w:pStyle w:val="ListBullet"/>
      </w:pPr>
      <w:r>
        <w:t>Pendiente no bloqueante: decidir el commit en git de todo lo avanzado.</w:t>
      </w:r>
    </w:p>
    <w:p>
      <w:pPr>
        <w:pStyle w:val="Heading2"/>
      </w:pPr>
      <w:r>
        <w:t>9.2 Próxima sesión — Fase 2 (orden de trabajo)</w:t>
      </w:r>
    </w:p>
    <w:p>
      <w:r>
        <w:t>1. Levantar PostgreSQL con Docker (docker compose up; imagen postgres:16-alpine) y verificar conexión.</w:t>
      </w:r>
    </w:p>
    <w:p>
      <w:r>
        <w:t>2. Instalar la herramienta global dotnet-ef (dotnet tool install --global dotnet-ef).</w:t>
      </w:r>
    </w:p>
    <w:p>
      <w:r>
        <w:t>3. Agregar a GymTracker.Infrastructure los paquetes Npgsql.EntityFrameworkCore.PostgreSQL y Microsoft.AspNetCore.Identity.EntityFrameworkCore.</w:t>
      </w:r>
    </w:p>
    <w:p>
      <w:r>
        <w:t>4. Crear ApplicationUser : IdentityUser en Infrastructure (carpeta Identity).</w:t>
      </w:r>
    </w:p>
    <w:p>
      <w:r>
        <w:t>5. Crear GymTrackerDbContext : IdentityDbContext&lt;ApplicationUser&gt; con Fluent API: value converters de Name/Repetitions/Weight, enums, índices únicos ((UserId, ExerciseName)), longitudes máx (100/150), CHECKs (SetNumber &gt; 0, Reps &gt;= 0, Weight &gt;= 0, CurrentWeek entre 1 y TotalWeeks), FK CASCADE solo en planificación y RESTRICT en Workout.RoutineId.</w:t>
      </w:r>
    </w:p>
    <w:p>
      <w:r>
        <w:t>6. Registrar DbContext + Identity en la DI (Program.cs del API).</w:t>
      </w:r>
    </w:p>
    <w:p>
      <w:r>
        <w:t>7. Generar y aplicar la migración inicial (dotnet ef migrations add InitialCreate; dotnet ef database update).</w:t>
      </w:r>
    </w:p>
    <w:p>
      <w:r>
        <w:t>8. Seed del catálogo: DEFAULT_EXERCISES de index.html (ExerciseType + DefaultLaterality) y UserSettings por defecto al registrarse.</w:t>
      </w:r>
    </w:p>
    <w:p>
      <w:r>
        <w:t>9. Verificación de la Fase 2: tablas creadas (AspNetUsers + las 12 de dominio), seed presente, API levanta y Swagger carga.</w:t>
      </w:r>
    </w:p>
    <w:p>
      <w:pPr>
        <w:pStyle w:val="Heading1"/>
      </w:pPr>
      <w:r>
        <w:t>10. Plan de empleabilidad (integración con el mercado)</w:t>
      </w:r>
    </w:p>
    <w:p>
      <w:pPr/>
      <w:r>
        <w:t>El mercado colombiano C#/.NET (17 ofertas analizadas el 2026-08-18) pide C#, .NET y SQL en ~82% de los casos; cloud (Azure/AWS) en 71%; testing en 65%; ASP.NET, JavaScript y CI/CD en ~59%; React en 41%. Esta sección integra la estrategia de empleabilidad con el roadmap técnico (secciones 8-9): cada fase de GymTracker agrega keywords verificables al CV. El orden técnico de la sección 9.2 no cambia; lo que cambia es la prioridad según mercado: SQL, testing y cloud antes que features avanzadas.</w:t>
      </w:r>
    </w:p>
    <w:p>
      <w:pPr>
        <w:pStyle w:val="Heading2"/>
      </w:pPr>
      <w:r>
        <w:t>10.1 Mapa: habilidad del mercado → fase de GymTracker → semana → 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1400"/>
        <w:gridCol w:w="1500"/>
        <w:gridCol w:w="2800"/>
        <w:gridCol w:w="2220"/>
      </w:tblGrid>
      <w:tr>
        <w:tc>
          <w:tcPr>
            <w:tcW w:type="dxa" w:w="720"/>
          </w:tcPr>
          <w:p>
            <w:r/>
            <w:r>
              <w:rPr>
                <w:b/>
              </w:rPr>
              <w:t>Semana</w:t>
            </w:r>
          </w:p>
        </w:tc>
        <w:tc>
          <w:tcPr>
            <w:tcW w:type="dxa" w:w="1400"/>
          </w:tcPr>
          <w:p>
            <w:r/>
            <w:r>
              <w:rPr>
                <w:b/>
              </w:rPr>
              <w:t>Fase GymTracker</w:t>
            </w:r>
          </w:p>
        </w:tc>
        <w:tc>
          <w:tcPr>
            <w:tcW w:type="dxa" w:w="1500"/>
          </w:tcPr>
          <w:p>
            <w:r/>
            <w:r>
              <w:rPr>
                <w:b/>
              </w:rPr>
              <w:t>Habilidad del mercado</w:t>
            </w:r>
          </w:p>
        </w:tc>
        <w:tc>
          <w:tcPr>
            <w:tcW w:type="dxa" w:w="2800"/>
          </w:tcPr>
          <w:p>
            <w:r/>
            <w:r>
              <w:rPr>
                <w:b/>
              </w:rPr>
              <w:t>Keywords CV</w:t>
            </w:r>
          </w:p>
        </w:tc>
        <w:tc>
          <w:tcPr>
            <w:tcW w:type="dxa" w:w="2220"/>
          </w:tcPr>
          <w:p>
            <w:r/>
            <w:r>
              <w:rPr>
                <w:b/>
              </w:rPr>
              <w:t>Entregable</w:t>
            </w:r>
          </w:p>
        </w:tc>
      </w:tr>
      <w:tr>
        <w:tc>
          <w:tcPr>
            <w:tcW w:type="dxa" w:w="720"/>
          </w:tcPr>
          <w:p>
            <w:r/>
            <w:r>
              <w:t>1-2</w:t>
            </w:r>
          </w:p>
        </w:tc>
        <w:tc>
          <w:tcPr>
            <w:tcW w:type="dxa" w:w="1400"/>
          </w:tcPr>
          <w:p>
            <w:r/>
            <w:r>
              <w:t>Fase 2</w:t>
            </w:r>
          </w:p>
        </w:tc>
        <w:tc>
          <w:tcPr>
            <w:tcW w:type="dxa" w:w="1500"/>
          </w:tcPr>
          <w:p>
            <w:r/>
            <w:r>
              <w:t>EF Core, PostgreSQL, Identity</w:t>
            </w:r>
          </w:p>
        </w:tc>
        <w:tc>
          <w:tcPr>
            <w:tcW w:type="dxa" w:w="2800"/>
          </w:tcPr>
          <w:p>
            <w:r/>
            <w:r>
              <w:t>Entity Framework Core, PostgreSQL, ASP.NET Identity, Migrations</w:t>
            </w:r>
          </w:p>
        </w:tc>
        <w:tc>
          <w:tcPr>
            <w:tcW w:type="dxa" w:w="2220"/>
          </w:tcPr>
          <w:p>
            <w:r/>
            <w:r>
              <w:t>DbContext + tablas + seed + Swagger</w:t>
            </w:r>
          </w:p>
        </w:tc>
      </w:tr>
      <w:tr>
        <w:tc>
          <w:tcPr>
            <w:tcW w:type="dxa" w:w="720"/>
          </w:tcPr>
          <w:p>
            <w:r/>
            <w:r>
              <w:t>3</w:t>
            </w:r>
          </w:p>
        </w:tc>
        <w:tc>
          <w:tcPr>
            <w:tcW w:type="dxa" w:w="1400"/>
          </w:tcPr>
          <w:p>
            <w:r/>
            <w:r>
              <w:t>Fase 3 — Routine</w:t>
            </w:r>
          </w:p>
        </w:tc>
        <w:tc>
          <w:tcPr>
            <w:tcW w:type="dxa" w:w="1500"/>
          </w:tcPr>
          <w:p>
            <w:r/>
            <w:r>
              <w:t>REST API, DI, Testing</w:t>
            </w:r>
          </w:p>
        </w:tc>
        <w:tc>
          <w:tcPr>
            <w:tcW w:type="dxa" w:w="2800"/>
          </w:tcPr>
          <w:p>
            <w:r/>
            <w:r>
              <w:t>REST API, DTOs, Dependency Injection, xUnit</w:t>
            </w:r>
          </w:p>
        </w:tc>
        <w:tc>
          <w:tcPr>
            <w:tcW w:type="dxa" w:w="2220"/>
          </w:tcPr>
          <w:p>
            <w:r/>
            <w:r>
              <w:t>CRUD rutinas con tests</w:t>
            </w:r>
          </w:p>
        </w:tc>
      </w:tr>
      <w:tr>
        <w:tc>
          <w:tcPr>
            <w:tcW w:type="dxa" w:w="720"/>
          </w:tcPr>
          <w:p>
            <w:r/>
            <w:r>
              <w:t>4</w:t>
            </w:r>
          </w:p>
        </w:tc>
        <w:tc>
          <w:tcPr>
            <w:tcW w:type="dxa" w:w="1400"/>
          </w:tcPr>
          <w:p>
            <w:r/>
            <w:r>
              <w:t>Fase 4 — Workout</w:t>
            </w:r>
          </w:p>
        </w:tc>
        <w:tc>
          <w:tcPr>
            <w:tcW w:type="dxa" w:w="1500"/>
          </w:tcPr>
          <w:p>
            <w:r/>
            <w:r>
              <w:t>SQL, consultas</w:t>
            </w:r>
          </w:p>
        </w:tc>
        <w:tc>
          <w:tcPr>
            <w:tcW w:type="dxa" w:w="2800"/>
          </w:tcPr>
          <w:p>
            <w:r/>
            <w:r>
              <w:t>SQL, LINQ, Transactions, Indexes</w:t>
            </w:r>
          </w:p>
        </w:tc>
        <w:tc>
          <w:tcPr>
            <w:tcW w:type="dxa" w:w="2220"/>
          </w:tcPr>
          <w:p>
            <w:r/>
            <w:r>
              <w:t>Historial + PR</w:t>
            </w:r>
          </w:p>
        </w:tc>
      </w:tr>
      <w:tr>
        <w:tc>
          <w:tcPr>
            <w:tcW w:type="dxa" w:w="720"/>
          </w:tcPr>
          <w:p>
            <w:r/>
            <w:r>
              <w:t>5</w:t>
            </w:r>
          </w:p>
        </w:tc>
        <w:tc>
          <w:tcPr>
            <w:tcW w:type="dxa" w:w="1400"/>
          </w:tcPr>
          <w:p>
            <w:r/>
            <w:r>
              <w:t>Fase 5 — Cycle + Docker</w:t>
            </w:r>
          </w:p>
        </w:tc>
        <w:tc>
          <w:tcPr>
            <w:tcW w:type="dxa" w:w="1500"/>
          </w:tcPr>
          <w:p>
            <w:r/>
            <w:r>
              <w:t>Docker</w:t>
            </w:r>
          </w:p>
        </w:tc>
        <w:tc>
          <w:tcPr>
            <w:tcW w:type="dxa" w:w="2800"/>
          </w:tcPr>
          <w:p>
            <w:r/>
            <w:r>
              <w:t>Docker, Docker Compose</w:t>
            </w:r>
          </w:p>
        </w:tc>
        <w:tc>
          <w:tcPr>
            <w:tcW w:type="dxa" w:w="2220"/>
          </w:tcPr>
          <w:p>
            <w:r/>
            <w:r>
              <w:t>compose API + PostgreSQL</w:t>
            </w:r>
          </w:p>
        </w:tc>
      </w:tr>
      <w:tr>
        <w:tc>
          <w:tcPr>
            <w:tcW w:type="dxa" w:w="720"/>
          </w:tcPr>
          <w:p>
            <w:r/>
            <w:r>
              <w:t>6</w:t>
            </w:r>
          </w:p>
        </w:tc>
        <w:tc>
          <w:tcPr>
            <w:tcW w:type="dxa" w:w="1400"/>
          </w:tcPr>
          <w:p>
            <w:r/>
            <w:r>
              <w:t>Fase 6 — CI/CD + Azure</w:t>
            </w:r>
          </w:p>
        </w:tc>
        <w:tc>
          <w:tcPr>
            <w:tcW w:type="dxa" w:w="1500"/>
          </w:tcPr>
          <w:p>
            <w:r/>
            <w:r>
              <w:t>GitHub Actions, Azure</w:t>
            </w:r>
          </w:p>
        </w:tc>
        <w:tc>
          <w:tcPr>
            <w:tcW w:type="dxa" w:w="2800"/>
          </w:tcPr>
          <w:p>
            <w:r/>
            <w:r>
              <w:t>CI/CD, GitHub Actions, Azure App Service, Azure SQL</w:t>
            </w:r>
          </w:p>
        </w:tc>
        <w:tc>
          <w:tcPr>
            <w:tcW w:type="dxa" w:w="2220"/>
          </w:tcPr>
          <w:p>
            <w:r/>
            <w:r>
              <w:t>Pipeline verde + deploy</w:t>
            </w:r>
          </w:p>
        </w:tc>
      </w:tr>
      <w:tr>
        <w:tc>
          <w:tcPr>
            <w:tcW w:type="dxa" w:w="720"/>
          </w:tcPr>
          <w:p>
            <w:r/>
            <w:r>
              <w:t>7</w:t>
            </w:r>
          </w:p>
        </w:tc>
        <w:tc>
          <w:tcPr>
            <w:tcW w:type="dxa" w:w="1400"/>
          </w:tcPr>
          <w:p>
            <w:r/>
            <w:r>
              <w:t>Fase 7 — Hardening</w:t>
            </w:r>
          </w:p>
        </w:tc>
        <w:tc>
          <w:tcPr>
            <w:tcW w:type="dxa" w:w="1500"/>
          </w:tcPr>
          <w:p>
            <w:r/>
            <w:r>
              <w:t>Azure, observabilidad</w:t>
            </w:r>
          </w:p>
        </w:tc>
        <w:tc>
          <w:tcPr>
            <w:tcW w:type="dxa" w:w="2800"/>
          </w:tcPr>
          <w:p>
            <w:r/>
            <w:r>
              <w:t>Azure Key Vault, Application Insights</w:t>
            </w:r>
          </w:p>
        </w:tc>
        <w:tc>
          <w:tcPr>
            <w:tcW w:type="dxa" w:w="2220"/>
          </w:tcPr>
          <w:p>
            <w:r/>
            <w:r>
              <w:t>Caso de estudio</w:t>
            </w:r>
          </w:p>
        </w:tc>
      </w:tr>
      <w:tr>
        <w:tc>
          <w:tcPr>
            <w:tcW w:type="dxa" w:w="720"/>
          </w:tcPr>
          <w:p>
            <w:r/>
            <w:r>
              <w:t>8-9</w:t>
            </w:r>
          </w:p>
        </w:tc>
        <w:tc>
          <w:tcPr>
            <w:tcW w:type="dxa" w:w="1400"/>
          </w:tcPr>
          <w:p>
            <w:r/>
            <w:r>
              <w:t>Fase 8 — Frontend</w:t>
            </w:r>
          </w:p>
        </w:tc>
        <w:tc>
          <w:tcPr>
            <w:tcW w:type="dxa" w:w="1500"/>
          </w:tcPr>
          <w:p>
            <w:r/>
            <w:r>
              <w:t>React, TypeScript, JWT</w:t>
            </w:r>
          </w:p>
        </w:tc>
        <w:tc>
          <w:tcPr>
            <w:tcW w:type="dxa" w:w="2800"/>
          </w:tcPr>
          <w:p>
            <w:r/>
            <w:r>
              <w:t>React, TypeScript, JWT</w:t>
            </w:r>
          </w:p>
        </w:tc>
        <w:tc>
          <w:tcPr>
            <w:tcW w:type="dxa" w:w="2220"/>
          </w:tcPr>
          <w:p>
            <w:r/>
            <w:r>
              <w:t>Frontend conectado</w:t>
            </w:r>
          </w:p>
        </w:tc>
      </w:tr>
      <w:tr>
        <w:tc>
          <w:tcPr>
            <w:tcW w:type="dxa" w:w="720"/>
          </w:tcPr>
          <w:p>
            <w:r/>
            <w:r>
              <w:t>10-11</w:t>
            </w:r>
          </w:p>
        </w:tc>
        <w:tc>
          <w:tcPr>
            <w:tcW w:type="dxa" w:w="1400"/>
          </w:tcPr>
          <w:p>
            <w:r/>
            <w:r>
              <w:t>Entrevistas</w:t>
            </w:r>
          </w:p>
        </w:tc>
        <w:tc>
          <w:tcPr>
            <w:tcW w:type="dxa" w:w="1500"/>
          </w:tcPr>
          <w:p>
            <w:r/>
            <w:r>
              <w:t>SQL Server, algoritmos, inglés</w:t>
            </w:r>
          </w:p>
        </w:tc>
        <w:tc>
          <w:tcPr>
            <w:tcW w:type="dxa" w:w="2800"/>
          </w:tcPr>
          <w:p>
            <w:r/>
            <w:r>
              <w:t>SQL Server, Stored Procedures</w:t>
            </w:r>
          </w:p>
        </w:tc>
        <w:tc>
          <w:tcPr>
            <w:tcW w:type="dxa" w:w="2220"/>
          </w:tcPr>
          <w:p>
            <w:r/>
            <w:r>
              <w:t>Listo para entrevistas</w:t>
            </w:r>
          </w:p>
        </w:tc>
      </w:tr>
      <w:tr>
        <w:tc>
          <w:tcPr>
            <w:tcW w:type="dxa" w:w="720"/>
          </w:tcPr>
          <w:p>
            <w:r/>
            <w:r>
              <w:t>12</w:t>
            </w:r>
          </w:p>
        </w:tc>
        <w:tc>
          <w:tcPr>
            <w:tcW w:type="dxa" w:w="1400"/>
          </w:tcPr>
          <w:p>
            <w:r/>
            <w:r>
              <w:t>Negociación</w:t>
            </w:r>
          </w:p>
        </w:tc>
        <w:tc>
          <w:tcPr>
            <w:tcW w:type="dxa" w:w="1500"/>
          </w:tcPr>
          <w:p>
            <w:r/>
            <w:r>
              <w:t>—</w:t>
            </w:r>
          </w:p>
        </w:tc>
        <w:tc>
          <w:tcPr>
            <w:tcW w:type="dxa" w:w="2800"/>
          </w:tcPr>
          <w:p>
            <w:r/>
            <w:r>
              <w:t>—</w:t>
            </w:r>
          </w:p>
        </w:tc>
        <w:tc>
          <w:tcPr>
            <w:tcW w:type="dxa" w:w="2220"/>
          </w:tcPr>
          <w:p>
            <w:r/>
            <w:r>
              <w:t>Oferta firmada</w:t>
            </w:r>
          </w:p>
        </w:tc>
      </w:tr>
    </w:tbl>
    <w:p>
      <w:pPr>
        <w:pStyle w:val="Heading2"/>
      </w:pPr>
      <w:r>
        <w:t>10.2 Archivos de trabajo</w:t>
      </w:r>
    </w:p>
    <w:p>
      <w:pPr>
        <w:pStyle w:val="ListBullet"/>
      </w:pPr>
      <w:r>
        <w:t>ROADMAP-EMPLEABILIDAD.md — análisis del mercado (17 ofertas), gaps del CV, ofertas objetivo y temario de entrevistas.</w:t>
      </w:r>
    </w:p>
    <w:p>
      <w:pPr>
        <w:pStyle w:val="ListBullet"/>
      </w:pPr>
      <w:r>
        <w:t>PLAN-INTEGRADO-EMPLEABILIDAD.md — plan maestro operativo: mapa habilidades → fases → semanas y plan semanal combinado (técnico + búsqueda).</w:t>
      </w:r>
    </w:p>
    <w:p>
      <w:pPr>
        <w:pStyle w:val="ListBullet"/>
      </w:pPr>
      <w:r>
        <w:t>Este documento — referencia técnica: arquitectura, ADRs 001-027, diseño de BD y fases 1-7.</w:t>
      </w:r>
    </w:p>
    <w:p>
      <w:pPr/>
      <w:r>
        <w:t>Nota (2026-08-18): esta sección se añadió para integrar los archivos de empleabilidad; el resto del documento no cambia. El orden técnico de trabajo sigue siendo el de la sección 9.2.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