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UNIR3"/>
        <w:tblW w:w="0" w:type="auto"/>
        <w:tblLook w:val="04A0" w:firstRow="1" w:lastRow="0" w:firstColumn="1" w:lastColumn="0" w:noHBand="0" w:noVBand="1"/>
      </w:tblPr>
      <w:tblGrid>
        <w:gridCol w:w="1701"/>
        <w:gridCol w:w="1084"/>
        <w:gridCol w:w="1085"/>
        <w:gridCol w:w="1085"/>
        <w:gridCol w:w="1085"/>
        <w:gridCol w:w="1085"/>
        <w:gridCol w:w="1085"/>
      </w:tblGrid>
      <w:tr w:rsidR="00865180" w:rsidRPr="00015F2F" w:rsidTr="00C0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1701" w:type="dxa"/>
            <w:tcBorders>
              <w:top w:val="nil"/>
              <w:bottom w:val="nil"/>
              <w:right w:val="nil"/>
            </w:tcBorders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4" w:type="dxa"/>
            <w:tcBorders>
              <w:left w:val="nil"/>
            </w:tcBorders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T1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T2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T3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</w:tr>
      <w:tr w:rsidR="00865180" w:rsidRPr="00015F2F" w:rsidTr="00C036FA">
        <w:trPr>
          <w:trHeight w:val="57"/>
        </w:trPr>
        <w:tc>
          <w:tcPr>
            <w:tcW w:w="1701" w:type="dxa"/>
            <w:tcBorders>
              <w:top w:val="nil"/>
            </w:tcBorders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</w:tr>
      <w:tr w:rsidR="00865180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left"/>
              <w:rPr>
                <w:sz w:val="20"/>
                <w:szCs w:val="16"/>
              </w:rPr>
            </w:pPr>
            <w:proofErr w:type="spellStart"/>
            <w:r w:rsidRPr="00015F2F">
              <w:rPr>
                <w:sz w:val="20"/>
                <w:szCs w:val="16"/>
              </w:rPr>
              <w:t>Terciles</w:t>
            </w:r>
            <w:proofErr w:type="spellEnd"/>
            <w:r w:rsidRPr="00015F2F">
              <w:rPr>
                <w:sz w:val="20"/>
                <w:szCs w:val="16"/>
              </w:rPr>
              <w:t xml:space="preserve"> componente 1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 w:rsidRPr="00015F2F">
              <w:rPr>
                <w:sz w:val="20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 w:rsidRPr="00015F2F">
              <w:rPr>
                <w:sz w:val="20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0.782</w:t>
            </w:r>
            <w:r w:rsidR="00865180" w:rsidRPr="00015F2F">
              <w:rPr>
                <w:sz w:val="20"/>
                <w:szCs w:val="16"/>
              </w:rPr>
              <w:t xml:space="preserve"> (</w:t>
            </w:r>
            <w:r>
              <w:rPr>
                <w:sz w:val="20"/>
                <w:szCs w:val="16"/>
              </w:rPr>
              <w:t>0.18 a 3.41</w:t>
            </w:r>
            <w:r w:rsidR="00865180" w:rsidRPr="00015F2F">
              <w:rPr>
                <w:sz w:val="20"/>
                <w:szCs w:val="16"/>
              </w:rPr>
              <w:t>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0.743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2.020</w:t>
            </w:r>
            <w:r w:rsidR="00865180" w:rsidRPr="00015F2F">
              <w:rPr>
                <w:sz w:val="20"/>
                <w:szCs w:val="16"/>
              </w:rPr>
              <w:t xml:space="preserve"> (</w:t>
            </w:r>
            <w:r>
              <w:rPr>
                <w:sz w:val="20"/>
                <w:szCs w:val="16"/>
              </w:rPr>
              <w:t>0.32-12.9</w:t>
            </w:r>
            <w:r w:rsidR="00865180" w:rsidRPr="00015F2F">
              <w:rPr>
                <w:sz w:val="20"/>
                <w:szCs w:val="16"/>
              </w:rPr>
              <w:t>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0.457</w:t>
            </w:r>
          </w:p>
        </w:tc>
      </w:tr>
      <w:tr w:rsidR="00865180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015F2F" w:rsidP="00015F2F">
            <w:pPr>
              <w:spacing w:line="240" w:lineRule="auto"/>
              <w:jc w:val="left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Terciles</w:t>
            </w:r>
            <w:proofErr w:type="spellEnd"/>
            <w:r>
              <w:rPr>
                <w:sz w:val="20"/>
                <w:szCs w:val="16"/>
              </w:rPr>
              <w:t xml:space="preserve"> componente 2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 w:rsidRPr="00015F2F">
              <w:rPr>
                <w:sz w:val="20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865180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 w:rsidRPr="00015F2F">
              <w:rPr>
                <w:sz w:val="20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2.523</w:t>
            </w:r>
            <w:r w:rsidR="00865180" w:rsidRPr="00015F2F">
              <w:rPr>
                <w:sz w:val="20"/>
                <w:szCs w:val="16"/>
              </w:rPr>
              <w:t xml:space="preserve"> (</w:t>
            </w:r>
            <w:r>
              <w:rPr>
                <w:sz w:val="20"/>
                <w:szCs w:val="16"/>
              </w:rPr>
              <w:t>0.43</w:t>
            </w:r>
            <w:r w:rsidR="00865180" w:rsidRPr="00015F2F">
              <w:rPr>
                <w:sz w:val="20"/>
                <w:szCs w:val="16"/>
              </w:rPr>
              <w:t xml:space="preserve"> a </w:t>
            </w:r>
            <w:r>
              <w:rPr>
                <w:sz w:val="20"/>
                <w:szCs w:val="16"/>
              </w:rPr>
              <w:t>14.85</w:t>
            </w:r>
            <w:r w:rsidR="00865180" w:rsidRPr="00015F2F">
              <w:rPr>
                <w:sz w:val="20"/>
                <w:szCs w:val="16"/>
              </w:rPr>
              <w:t>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0.306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1.219</w:t>
            </w:r>
            <w:r w:rsidR="00865180" w:rsidRPr="00015F2F">
              <w:rPr>
                <w:sz w:val="20"/>
                <w:szCs w:val="16"/>
              </w:rPr>
              <w:t xml:space="preserve"> (</w:t>
            </w:r>
            <w:r>
              <w:rPr>
                <w:sz w:val="20"/>
                <w:szCs w:val="16"/>
              </w:rPr>
              <w:t>0.24</w:t>
            </w:r>
            <w:r w:rsidR="00865180" w:rsidRPr="00015F2F">
              <w:rPr>
                <w:sz w:val="20"/>
                <w:szCs w:val="16"/>
              </w:rPr>
              <w:t xml:space="preserve"> a </w:t>
            </w:r>
            <w:r>
              <w:rPr>
                <w:sz w:val="20"/>
                <w:szCs w:val="16"/>
              </w:rPr>
              <w:t>6.22</w:t>
            </w:r>
            <w:r w:rsidR="00865180" w:rsidRPr="00015F2F">
              <w:rPr>
                <w:sz w:val="20"/>
                <w:szCs w:val="16"/>
              </w:rPr>
              <w:t>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0.812</w:t>
            </w:r>
          </w:p>
        </w:tc>
      </w:tr>
      <w:tr w:rsidR="00865180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015F2F" w:rsidP="00530E9B">
            <w:pPr>
              <w:spacing w:line="240" w:lineRule="auto"/>
              <w:jc w:val="left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Terciles</w:t>
            </w:r>
            <w:proofErr w:type="spellEnd"/>
            <w:r>
              <w:rPr>
                <w:sz w:val="20"/>
                <w:szCs w:val="16"/>
              </w:rPr>
              <w:t xml:space="preserve"> componente 3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 w:rsidRPr="00015F2F">
              <w:rPr>
                <w:sz w:val="20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0.589</w:t>
            </w:r>
            <w:r w:rsidRPr="00015F2F">
              <w:rPr>
                <w:sz w:val="20"/>
                <w:szCs w:val="16"/>
              </w:rPr>
              <w:t xml:space="preserve"> (</w:t>
            </w:r>
            <w:r>
              <w:rPr>
                <w:sz w:val="20"/>
                <w:szCs w:val="16"/>
              </w:rPr>
              <w:t>0.14</w:t>
            </w:r>
            <w:r w:rsidRPr="00015F2F">
              <w:rPr>
                <w:sz w:val="20"/>
                <w:szCs w:val="16"/>
              </w:rPr>
              <w:t xml:space="preserve"> a </w:t>
            </w:r>
            <w:r>
              <w:rPr>
                <w:sz w:val="20"/>
                <w:szCs w:val="16"/>
              </w:rPr>
              <w:t>2.56</w:t>
            </w:r>
            <w:r w:rsidRPr="00015F2F">
              <w:rPr>
                <w:sz w:val="20"/>
                <w:szCs w:val="16"/>
              </w:rPr>
              <w:t>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0.481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B974AD" w:rsidP="00B974AD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2.267</w:t>
            </w:r>
            <w:r w:rsidR="00865180" w:rsidRPr="00015F2F">
              <w:rPr>
                <w:sz w:val="20"/>
                <w:szCs w:val="16"/>
              </w:rPr>
              <w:t xml:space="preserve"> (</w:t>
            </w:r>
            <w:r>
              <w:rPr>
                <w:sz w:val="20"/>
                <w:szCs w:val="16"/>
              </w:rPr>
              <w:t>0.45</w:t>
            </w:r>
            <w:r w:rsidR="00865180" w:rsidRPr="00015F2F">
              <w:rPr>
                <w:sz w:val="20"/>
                <w:szCs w:val="16"/>
              </w:rPr>
              <w:t xml:space="preserve"> a </w:t>
            </w:r>
            <w:r>
              <w:rPr>
                <w:sz w:val="20"/>
                <w:szCs w:val="16"/>
              </w:rPr>
              <w:t>11.51</w:t>
            </w:r>
            <w:r w:rsidR="00865180" w:rsidRPr="00015F2F">
              <w:rPr>
                <w:sz w:val="20"/>
                <w:szCs w:val="16"/>
              </w:rPr>
              <w:t>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865180" w:rsidRPr="00015F2F" w:rsidRDefault="00B974AD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0.324</w:t>
            </w:r>
          </w:p>
        </w:tc>
      </w:tr>
      <w:tr w:rsidR="00015F2F" w:rsidRPr="00015F2F" w:rsidTr="00C036FA">
        <w:trPr>
          <w:trHeight w:val="57"/>
        </w:trPr>
        <w:tc>
          <w:tcPr>
            <w:tcW w:w="1701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4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mujer</w:t>
            </w: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</w:rPr>
              <w:t>varon</w:t>
            </w:r>
            <w:proofErr w:type="spellEnd"/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</w:tr>
      <w:tr w:rsidR="00015F2F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015F2F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</w:p>
        </w:tc>
      </w:tr>
      <w:tr w:rsidR="00015F2F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015F2F" w:rsidRDefault="00015F2F" w:rsidP="00530E9B">
            <w:pPr>
              <w:spacing w:line="240" w:lineRule="auto"/>
              <w:jc w:val="left"/>
              <w:rPr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sexo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 w:rsidRPr="00015F2F">
              <w:rPr>
                <w:sz w:val="20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C036FA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B974AD" w:rsidP="00B974AD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2.217 </w:t>
            </w:r>
            <w:r w:rsidRPr="00015F2F"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 xml:space="preserve">0.59 </w:t>
            </w:r>
            <w:r w:rsidRPr="00015F2F">
              <w:rPr>
                <w:sz w:val="20"/>
                <w:szCs w:val="16"/>
              </w:rPr>
              <w:t xml:space="preserve">a </w:t>
            </w:r>
            <w:r>
              <w:rPr>
                <w:sz w:val="20"/>
                <w:szCs w:val="16"/>
              </w:rPr>
              <w:t>8.28</w:t>
            </w:r>
            <w:r w:rsidRPr="00015F2F">
              <w:rPr>
                <w:sz w:val="20"/>
                <w:szCs w:val="16"/>
              </w:rPr>
              <w:t>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B974AD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0.236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015F2F" w:rsidRPr="00015F2F" w:rsidRDefault="00015F2F" w:rsidP="00530E9B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</w:tr>
      <w:tr w:rsidR="00015F2F" w:rsidRPr="00015F2F" w:rsidTr="00C036FA">
        <w:trPr>
          <w:trHeight w:val="57"/>
        </w:trPr>
        <w:tc>
          <w:tcPr>
            <w:tcW w:w="1701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Default="00015F2F" w:rsidP="00530E9B">
            <w:pPr>
              <w:spacing w:line="240" w:lineRule="auto"/>
              <w:jc w:val="left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4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B974AD" w:rsidRDefault="00015F2F" w:rsidP="00530E9B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w:r w:rsidRPr="00B974AD">
              <w:rPr>
                <w:b/>
                <w:sz w:val="20"/>
                <w:szCs w:val="16"/>
              </w:rPr>
              <w:t>CCR</w:t>
            </w: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B974AD" w:rsidRDefault="00015F2F" w:rsidP="00530E9B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B974AD" w:rsidRDefault="00015F2F" w:rsidP="00C036FA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w:r w:rsidRPr="00B974AD">
              <w:rPr>
                <w:b/>
                <w:sz w:val="20"/>
                <w:szCs w:val="16"/>
              </w:rPr>
              <w:t>CM</w:t>
            </w: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B974AD" w:rsidRDefault="00015F2F" w:rsidP="00530E9B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B974AD" w:rsidRDefault="00015F2F" w:rsidP="00530E9B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  <w:r w:rsidRPr="00B974AD">
              <w:rPr>
                <w:b/>
                <w:sz w:val="20"/>
                <w:szCs w:val="16"/>
              </w:rPr>
              <w:t>CP</w:t>
            </w: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015F2F" w:rsidRPr="00B974AD" w:rsidRDefault="00015F2F" w:rsidP="00530E9B">
            <w:pPr>
              <w:spacing w:line="240" w:lineRule="auto"/>
              <w:jc w:val="center"/>
              <w:rPr>
                <w:b/>
                <w:sz w:val="20"/>
                <w:szCs w:val="16"/>
              </w:rPr>
            </w:pPr>
          </w:p>
        </w:tc>
      </w:tr>
      <w:tr w:rsidR="00C036FA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C036FA" w:rsidRDefault="00C036FA" w:rsidP="00C036FA">
            <w:pPr>
              <w:spacing w:line="240" w:lineRule="auto"/>
              <w:jc w:val="left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</w:tr>
      <w:tr w:rsidR="00C036FA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C036FA" w:rsidRDefault="00C036FA" w:rsidP="00C036FA">
            <w:pPr>
              <w:spacing w:line="240" w:lineRule="auto"/>
              <w:jc w:val="left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Tipo de tumor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 w:rsidRPr="00015F2F">
              <w:rPr>
                <w:sz w:val="20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B974AD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2.582 (0.56 a 11.93)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B974AD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0.225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B974AD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2.837 (0.4 a 20)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B974AD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0.295</w:t>
            </w:r>
          </w:p>
        </w:tc>
      </w:tr>
      <w:tr w:rsidR="00C036FA" w:rsidRPr="00015F2F" w:rsidTr="00C036FA">
        <w:trPr>
          <w:trHeight w:val="57"/>
        </w:trPr>
        <w:tc>
          <w:tcPr>
            <w:tcW w:w="1701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C036FA" w:rsidRDefault="00C036FA" w:rsidP="00C036FA">
            <w:pPr>
              <w:spacing w:line="240" w:lineRule="auto"/>
              <w:jc w:val="left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4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shd w:val="clear" w:color="auto" w:fill="D9E2F3" w:themeFill="accent5" w:themeFillTint="33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</w:tr>
      <w:tr w:rsidR="00C036FA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C036FA" w:rsidRDefault="00C036FA" w:rsidP="00C036FA">
            <w:pPr>
              <w:spacing w:line="240" w:lineRule="auto"/>
              <w:jc w:val="left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b/>
                <w:bCs/>
                <w:sz w:val="20"/>
                <w:szCs w:val="16"/>
              </w:rPr>
            </w:pPr>
            <w:r w:rsidRPr="00015F2F">
              <w:rPr>
                <w:b/>
                <w:bCs/>
                <w:sz w:val="20"/>
                <w:szCs w:val="16"/>
              </w:rPr>
              <w:t xml:space="preserve">P </w:t>
            </w:r>
            <w:proofErr w:type="spellStart"/>
            <w:r w:rsidRPr="00015F2F">
              <w:rPr>
                <w:b/>
                <w:bCs/>
                <w:sz w:val="20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</w:tr>
      <w:tr w:rsidR="00C036FA" w:rsidRPr="00015F2F" w:rsidTr="00C036F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:rsidR="00C036FA" w:rsidRDefault="00C036FA" w:rsidP="00C036FA">
            <w:pPr>
              <w:spacing w:line="240" w:lineRule="auto"/>
              <w:jc w:val="left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edad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B974AD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1.001</w:t>
            </w:r>
            <w:r w:rsidR="00152303">
              <w:rPr>
                <w:sz w:val="20"/>
                <w:szCs w:val="16"/>
              </w:rPr>
              <w:t xml:space="preserve"> (0.94 a 1.06)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152303" w:rsidP="00152303">
            <w:pPr>
              <w:spacing w:line="240" w:lineRule="auto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0.966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:rsidR="00C036FA" w:rsidRPr="00015F2F" w:rsidRDefault="00C036FA" w:rsidP="00C036FA">
            <w:pPr>
              <w:spacing w:line="240" w:lineRule="auto"/>
              <w:jc w:val="center"/>
              <w:rPr>
                <w:sz w:val="20"/>
                <w:szCs w:val="16"/>
              </w:rPr>
            </w:pPr>
          </w:p>
        </w:tc>
      </w:tr>
    </w:tbl>
    <w:p w:rsidR="00676874" w:rsidRDefault="006B45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C77912" wp14:editId="777C7B9B">
                <wp:simplePos x="0" y="0"/>
                <wp:positionH relativeFrom="margin">
                  <wp:align>right</wp:align>
                </wp:positionH>
                <wp:positionV relativeFrom="paragraph">
                  <wp:posOffset>115570</wp:posOffset>
                </wp:positionV>
                <wp:extent cx="5400675" cy="1404620"/>
                <wp:effectExtent l="0" t="0" r="9525" b="889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4AD" w:rsidRPr="00B974AD" w:rsidRDefault="00B974AD" w:rsidP="00B974AD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B974AD">
                              <w:rPr>
                                <w:rStyle w:val="Textoennegrita"/>
                                <w:rFonts w:asciiTheme="minorHAnsi" w:hAnsiTheme="minorHAnsi" w:cstheme="minorHAnsi"/>
                                <w:sz w:val="20"/>
                              </w:rPr>
                              <w:t>Tabla de Regresión Logística</w:t>
                            </w:r>
                            <w:r>
                              <w:rPr>
                                <w:rStyle w:val="Textoennegrita"/>
                                <w:rFonts w:asciiTheme="minorHAnsi" w:hAnsiTheme="minorHAnsi" w:cstheme="minorHAnsi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Style w:val="Textoennegrita"/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  <w:t xml:space="preserve">Esta tabla contiene los valores OR y p-valores asociados </w:t>
                            </w:r>
                            <w:r w:rsidR="00635D75">
                              <w:rPr>
                                <w:rStyle w:val="Textoennegrita"/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  <w:t xml:space="preserve">a las variables </w:t>
                            </w:r>
                            <w:proofErr w:type="spellStart"/>
                            <w:r w:rsidR="006B45E3">
                              <w:rPr>
                                <w:rStyle w:val="Textoennegrita"/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  <w:t>predictoras</w:t>
                            </w:r>
                            <w:proofErr w:type="spellEnd"/>
                            <w:r w:rsidR="006B45E3">
                              <w:rPr>
                                <w:rStyle w:val="Textoennegrita"/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  <w:t xml:space="preserve"> </w:t>
                            </w:r>
                            <w:r w:rsidR="00635D75">
                              <w:rPr>
                                <w:rStyle w:val="Textoennegrita"/>
                                <w:rFonts w:asciiTheme="minorHAnsi" w:hAnsiTheme="minorHAnsi" w:cstheme="minorHAnsi"/>
                                <w:b w:val="0"/>
                                <w:sz w:val="20"/>
                              </w:rPr>
                              <w:t>(primera columna de la izquierda) con respecto a la variable dependiente (variable de respuesta binaria: presencia o no de metástasis)</w:t>
                            </w:r>
                          </w:p>
                          <w:p w:rsidR="00B974AD" w:rsidRDefault="00B974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779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4.05pt;margin-top:9.1pt;width:42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" stroked="f">
                <v:textbox style="mso-fit-shape-to-text:t">
                  <w:txbxContent>
                    <w:p w:rsidR="00B974AD" w:rsidRPr="00B974AD" w:rsidRDefault="00B974AD" w:rsidP="00B974AD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B974AD">
                        <w:rPr>
                          <w:rStyle w:val="Textoennegrita"/>
                          <w:rFonts w:asciiTheme="minorHAnsi" w:hAnsiTheme="minorHAnsi" w:cstheme="minorHAnsi"/>
                          <w:sz w:val="20"/>
                        </w:rPr>
                        <w:t>Tabla de Regresión Logística</w:t>
                      </w:r>
                      <w:r>
                        <w:rPr>
                          <w:rStyle w:val="Textoennegrita"/>
                          <w:rFonts w:asciiTheme="minorHAnsi" w:hAnsiTheme="minorHAnsi" w:cstheme="minorHAnsi"/>
                          <w:sz w:val="20"/>
                        </w:rPr>
                        <w:t xml:space="preserve">. </w:t>
                      </w:r>
                      <w:r>
                        <w:rPr>
                          <w:rStyle w:val="Textoennegrita"/>
                          <w:rFonts w:asciiTheme="minorHAnsi" w:hAnsiTheme="minorHAnsi" w:cstheme="minorHAnsi"/>
                          <w:b w:val="0"/>
                          <w:sz w:val="20"/>
                        </w:rPr>
                        <w:t xml:space="preserve">Esta tabla contiene los valores OR y p-valores asociados </w:t>
                      </w:r>
                      <w:r w:rsidR="00635D75">
                        <w:rPr>
                          <w:rStyle w:val="Textoennegrita"/>
                          <w:rFonts w:asciiTheme="minorHAnsi" w:hAnsiTheme="minorHAnsi" w:cstheme="minorHAnsi"/>
                          <w:b w:val="0"/>
                          <w:sz w:val="20"/>
                        </w:rPr>
                        <w:t xml:space="preserve">a las variables </w:t>
                      </w:r>
                      <w:proofErr w:type="spellStart"/>
                      <w:r w:rsidR="006B45E3">
                        <w:rPr>
                          <w:rStyle w:val="Textoennegrita"/>
                          <w:rFonts w:asciiTheme="minorHAnsi" w:hAnsiTheme="minorHAnsi" w:cstheme="minorHAnsi"/>
                          <w:b w:val="0"/>
                          <w:sz w:val="20"/>
                        </w:rPr>
                        <w:t>predictoras</w:t>
                      </w:r>
                      <w:proofErr w:type="spellEnd"/>
                      <w:r w:rsidR="006B45E3">
                        <w:rPr>
                          <w:rStyle w:val="Textoennegrita"/>
                          <w:rFonts w:asciiTheme="minorHAnsi" w:hAnsiTheme="minorHAnsi" w:cstheme="minorHAnsi"/>
                          <w:b w:val="0"/>
                          <w:sz w:val="20"/>
                        </w:rPr>
                        <w:t xml:space="preserve"> </w:t>
                      </w:r>
                      <w:r w:rsidR="00635D75">
                        <w:rPr>
                          <w:rStyle w:val="Textoennegrita"/>
                          <w:rFonts w:asciiTheme="minorHAnsi" w:hAnsiTheme="minorHAnsi" w:cstheme="minorHAnsi"/>
                          <w:b w:val="0"/>
                          <w:sz w:val="20"/>
                        </w:rPr>
                        <w:t>(primera columna de la izquierda) con respecto a la variable dependiente (variable de respuesta binaria: presencia o no de metástasis)</w:t>
                      </w:r>
                    </w:p>
                    <w:p w:rsidR="00B974AD" w:rsidRDefault="00B974AD"/>
                  </w:txbxContent>
                </v:textbox>
                <w10:wrap type="topAndBottom" anchorx="margin"/>
              </v:shape>
            </w:pict>
          </mc:Fallback>
        </mc:AlternateContent>
      </w:r>
      <w:r w:rsidR="00635D75">
        <w:t>Interpretación de resultados:</w:t>
      </w:r>
    </w:p>
    <w:p w:rsidR="00635D75" w:rsidRDefault="00635D75"/>
    <w:p w:rsidR="00865180" w:rsidRDefault="00E841C8">
      <w:r w:rsidRPr="00E841C8">
        <w:rPr>
          <w:b/>
        </w:rPr>
        <w:t>Sexo:</w:t>
      </w:r>
      <w:r>
        <w:t xml:space="preserve"> En el sexo varó</w:t>
      </w:r>
      <w:r w:rsidR="00635D75">
        <w:t xml:space="preserve">n con respecto al de mujer existe una probabilidad de 2.217 veces mayor de presentar un tumor </w:t>
      </w:r>
      <w:proofErr w:type="spellStart"/>
      <w:r>
        <w:t>metastásico</w:t>
      </w:r>
      <w:proofErr w:type="spellEnd"/>
      <w:r w:rsidR="00635D75">
        <w:t xml:space="preserve">. En ningún caso este resultado </w:t>
      </w:r>
      <w:r w:rsidR="006B45E3">
        <w:t xml:space="preserve">es </w:t>
      </w:r>
      <w:r w:rsidR="00635D75">
        <w:t xml:space="preserve">estadísticamente significativo pues el </w:t>
      </w:r>
      <w:r>
        <w:t xml:space="preserve">valor nulo </w:t>
      </w:r>
      <w:proofErr w:type="gramStart"/>
      <w:r>
        <w:t>( OR</w:t>
      </w:r>
      <w:proofErr w:type="gramEnd"/>
      <w:r>
        <w:t xml:space="preserve"> = 1) queda dentro del intervalo de confianza</w:t>
      </w:r>
      <w:r w:rsidR="00152303">
        <w:t xml:space="preserve"> (es decir, el intervalo de confianza no queda por encima o por debajo de este valor nulo)</w:t>
      </w:r>
      <w:r>
        <w:t xml:space="preserve"> y no presenta un p valor significativo (&lt; 0.05). Por tanto, este resultado debemos tomarlo con precaución.</w:t>
      </w:r>
    </w:p>
    <w:p w:rsidR="006B45E3" w:rsidRDefault="00E841C8" w:rsidP="006B45E3">
      <w:r w:rsidRPr="00E841C8">
        <w:rPr>
          <w:b/>
        </w:rPr>
        <w:t>Tipo de tumor</w:t>
      </w:r>
      <w:r w:rsidRPr="00E841C8">
        <w:rPr>
          <w:b/>
        </w:rPr>
        <w:t>:</w:t>
      </w:r>
      <w:r>
        <w:t xml:space="preserve"> </w:t>
      </w:r>
      <w:r>
        <w:t>Los pacientes con</w:t>
      </w:r>
      <w:r>
        <w:t xml:space="preserve"> </w:t>
      </w:r>
      <w:r>
        <w:t xml:space="preserve">tumor de tipo cáncer de mama (CM) presentan una probabilidad 2.582 veces superior de tener metástasis con respecto al grupo de </w:t>
      </w:r>
      <w:proofErr w:type="gramStart"/>
      <w:r>
        <w:t>pacientes  del</w:t>
      </w:r>
      <w:proofErr w:type="gramEnd"/>
      <w:r>
        <w:t xml:space="preserve"> tumor de referencia (cáncer cole renal, CCR),</w:t>
      </w:r>
      <w:r>
        <w:t>. En ningún caso este resultado</w:t>
      </w:r>
      <w:r>
        <w:t xml:space="preserve"> es</w:t>
      </w:r>
      <w:r>
        <w:t xml:space="preserve"> estadísticamente significativo pues el valor nul</w:t>
      </w:r>
      <w:r>
        <w:t>o (</w:t>
      </w:r>
      <w:r>
        <w:t>OR = 1) queda dentro del intervalo de confianza</w:t>
      </w:r>
      <w:r>
        <w:t xml:space="preserve"> ni presenta p valor significativo (&lt; 0.05)</w:t>
      </w:r>
      <w:r>
        <w:t>. Por tanto, este resultado debemos tomarlo con precaución.</w:t>
      </w:r>
      <w:r>
        <w:t xml:space="preserve"> Para los pacientes con tumor de tipo cáncer de pulmón (CP) la probabilidad de presentar metástasis con respecto al grupo de ref</w:t>
      </w:r>
      <w:r w:rsidR="006B45E3">
        <w:t xml:space="preserve">erencia es </w:t>
      </w:r>
      <w:r w:rsidR="006B45E3">
        <w:t>2.837 veces superior</w:t>
      </w:r>
      <w:r w:rsidR="006B45E3">
        <w:t xml:space="preserve">, </w:t>
      </w:r>
      <w:r>
        <w:t>similar al del</w:t>
      </w:r>
      <w:r w:rsidR="006B45E3">
        <w:t xml:space="preserve"> grupo </w:t>
      </w:r>
      <w:proofErr w:type="gramStart"/>
      <w:r w:rsidR="006B45E3">
        <w:t>CM</w:t>
      </w:r>
      <w:proofErr w:type="gramEnd"/>
      <w:r w:rsidR="006B45E3">
        <w:t xml:space="preserve"> aunque algo superior. Estos resultados </w:t>
      </w:r>
      <w:r w:rsidR="006B45E3">
        <w:lastRenderedPageBreak/>
        <w:t xml:space="preserve">indicarían que CM y CP producen más probabilidad de metástasis que CCR siendo el segundo ligeramente más </w:t>
      </w:r>
      <w:proofErr w:type="spellStart"/>
      <w:r w:rsidR="006B45E3">
        <w:t>metastásico</w:t>
      </w:r>
      <w:proofErr w:type="spellEnd"/>
      <w:r w:rsidR="006B45E3">
        <w:t>. De nuevo, e</w:t>
      </w:r>
      <w:r w:rsidR="006B45E3">
        <w:t xml:space="preserve">n ningún caso este resultado </w:t>
      </w:r>
      <w:r w:rsidR="006B45E3">
        <w:t xml:space="preserve">es </w:t>
      </w:r>
      <w:r w:rsidR="006B45E3">
        <w:t xml:space="preserve">estadísticamente significativo pues el valor nulo </w:t>
      </w:r>
      <w:proofErr w:type="gramStart"/>
      <w:r w:rsidR="006B45E3">
        <w:t>( OR</w:t>
      </w:r>
      <w:proofErr w:type="gramEnd"/>
      <w:r w:rsidR="006B45E3">
        <w:t xml:space="preserve"> = 1) queda dentro del intervalo de confianza y no presenta un p valor significativo (&lt; 0.05). Por tanto, este resultado debemos tomarlo con precaución.</w:t>
      </w:r>
    </w:p>
    <w:p w:rsidR="006B45E3" w:rsidRDefault="006B45E3" w:rsidP="00E841C8"/>
    <w:p w:rsidR="006B45E3" w:rsidRDefault="006B45E3" w:rsidP="00E841C8"/>
    <w:p w:rsidR="002E559D" w:rsidRDefault="00E841C8" w:rsidP="002E559D">
      <w:r w:rsidRPr="006B45E3">
        <w:rPr>
          <w:b/>
        </w:rPr>
        <w:t xml:space="preserve">Edad: </w:t>
      </w:r>
      <w:r w:rsidR="006B45E3" w:rsidRPr="006B45E3">
        <w:t>En la edad</w:t>
      </w:r>
      <w:r w:rsidR="006B45E3">
        <w:rPr>
          <w:b/>
        </w:rPr>
        <w:t xml:space="preserve"> </w:t>
      </w:r>
      <w:r w:rsidR="006B45E3">
        <w:t>al tratarse de una variable numérica y no categórica como las anteriores</w:t>
      </w:r>
      <w:r w:rsidR="002E07E3">
        <w:t xml:space="preserve">, el OR (1.001) lo que nos indica es la probabilidad de ser </w:t>
      </w:r>
      <w:proofErr w:type="spellStart"/>
      <w:r w:rsidR="002E07E3">
        <w:t>metastásico</w:t>
      </w:r>
      <w:proofErr w:type="spellEnd"/>
      <w:r w:rsidR="002E07E3">
        <w:t xml:space="preserve"> por unidad de incremento de la variable edad. Por tanto, en este caso por cada año de edad cumplido la probabilidad de tener cáncer </w:t>
      </w:r>
      <w:proofErr w:type="spellStart"/>
      <w:r w:rsidR="002E07E3">
        <w:t>metastásico</w:t>
      </w:r>
      <w:proofErr w:type="spellEnd"/>
      <w:r w:rsidR="002E07E3">
        <w:t xml:space="preserve"> es del 0.1% mayor que el del 1 año más joven. Ejemplo: Entre un paciente de edad 40 años y otro de 30 años, el incremento de riesgo de sufrir metástasis sería de </w:t>
      </w:r>
      <w:r w:rsidR="00152303">
        <w:t xml:space="preserve">40-30= 10 </w:t>
      </w:r>
      <w:proofErr w:type="gramStart"/>
      <w:r w:rsidR="00152303">
        <w:t>años;  10</w:t>
      </w:r>
      <w:proofErr w:type="gramEnd"/>
      <w:r w:rsidR="00152303">
        <w:t>*0.1= 10. Los pacientes de 40 años tendrían un riesgo 10</w:t>
      </w:r>
      <w:proofErr w:type="gramStart"/>
      <w:r w:rsidR="00152303">
        <w:t>%  mayor</w:t>
      </w:r>
      <w:proofErr w:type="gramEnd"/>
      <w:r w:rsidR="00152303">
        <w:t xml:space="preserve"> respecto a los de 30 años de tener metástasis a causa de la edad</w:t>
      </w:r>
      <w:r w:rsidR="00152303" w:rsidRPr="00152303">
        <w:t>. No o</w:t>
      </w:r>
      <w:r w:rsidR="00152303">
        <w:t xml:space="preserve">bstante, con un p </w:t>
      </w:r>
      <w:proofErr w:type="spellStart"/>
      <w:r w:rsidR="00152303">
        <w:t>value</w:t>
      </w:r>
      <w:proofErr w:type="spellEnd"/>
      <w:r w:rsidR="00152303">
        <w:t xml:space="preserve">= 0.966 estos resultados quedan lejos de ser estadísticamente </w:t>
      </w:r>
      <w:r w:rsidR="00DD2350">
        <w:t>significativos, p</w:t>
      </w:r>
      <w:r w:rsidR="002E559D">
        <w:t>or tanto, debemos tomarlo</w:t>
      </w:r>
      <w:r w:rsidR="002E559D">
        <w:t>s</w:t>
      </w:r>
      <w:r w:rsidR="002E559D">
        <w:t xml:space="preserve"> con precaución.</w:t>
      </w:r>
      <w:r w:rsidR="00DD2350">
        <w:t xml:space="preserve"> Hay que destacar que esta aproximación es muy simplista, y la edad al tratarse de una variable longitudinal sería más conveniente analizarla mediante modelos mixtos lineales generalizados.</w:t>
      </w:r>
      <w:bookmarkStart w:id="0" w:name="_GoBack"/>
      <w:bookmarkEnd w:id="0"/>
    </w:p>
    <w:p w:rsidR="00E841C8" w:rsidRPr="00152303" w:rsidRDefault="00E841C8" w:rsidP="00E841C8"/>
    <w:p w:rsidR="00E841C8" w:rsidRDefault="00E841C8"/>
    <w:p w:rsidR="00E841C8" w:rsidRDefault="00E841C8"/>
    <w:sectPr w:rsidR="00E8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0"/>
    <w:rsid w:val="00015F2F"/>
    <w:rsid w:val="00152303"/>
    <w:rsid w:val="002E07E3"/>
    <w:rsid w:val="002E559D"/>
    <w:rsid w:val="00635D75"/>
    <w:rsid w:val="00676874"/>
    <w:rsid w:val="006B45E3"/>
    <w:rsid w:val="00865180"/>
    <w:rsid w:val="00B974AD"/>
    <w:rsid w:val="00C036FA"/>
    <w:rsid w:val="00DD2350"/>
    <w:rsid w:val="00E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5D93"/>
  <w15:chartTrackingRefBased/>
  <w15:docId w15:val="{07DB2DCE-1878-46C4-99E5-39652381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180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UNIR3">
    <w:name w:val="Tabla UNIR 3"/>
    <w:basedOn w:val="Tablanormal"/>
    <w:uiPriority w:val="99"/>
    <w:rsid w:val="00865180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character" w:styleId="Textoennegrita">
    <w:name w:val="Strong"/>
    <w:basedOn w:val="Fuentedeprrafopredeter"/>
    <w:uiPriority w:val="22"/>
    <w:qFormat/>
    <w:rsid w:val="00865180"/>
    <w:rPr>
      <w:b/>
      <w:bCs/>
    </w:rPr>
  </w:style>
  <w:style w:type="character" w:styleId="Referenciasutil">
    <w:name w:val="Subtle Reference"/>
    <w:basedOn w:val="Fuentedeprrafopredeter"/>
    <w:uiPriority w:val="31"/>
    <w:qFormat/>
    <w:rsid w:val="0015230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</dc:creator>
  <cp:keywords/>
  <dc:description/>
  <cp:lastModifiedBy>Karlos</cp:lastModifiedBy>
  <cp:revision>2</cp:revision>
  <dcterms:created xsi:type="dcterms:W3CDTF">2025-02-03T16:45:00Z</dcterms:created>
  <dcterms:modified xsi:type="dcterms:W3CDTF">2025-02-03T18:56:00Z</dcterms:modified>
</cp:coreProperties>
</file>