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435B2593" w:rsidR="003B0E67" w:rsidRPr="00326931" w:rsidRDefault="003B0E67" w:rsidP="005C4BE9">
      <w:pPr>
        <w:rPr>
          <w:rStyle w:val="Cdigofuenteinline"/>
        </w:rPr>
      </w:pPr>
    </w:p>
    <w:p w14:paraId="2020CDA0" w14:textId="6B69EA4D" w:rsidR="005C4BE9" w:rsidRPr="0009320A" w:rsidRDefault="001C190C" w:rsidP="005C4BE9">
      <w:pPr>
        <w:pStyle w:val="TtuloApartado1sinnivel"/>
      </w:pPr>
      <w:r>
        <w:t xml:space="preserve">Actividad </w:t>
      </w:r>
      <w:r w:rsidR="00D82EB3">
        <w:t xml:space="preserve">2 </w:t>
      </w:r>
      <w:r>
        <w:t xml:space="preserve">grupal: </w:t>
      </w:r>
      <w:r w:rsidR="00254435">
        <w:t xml:space="preserve">Análisis </w:t>
      </w:r>
      <w:r w:rsidR="00254435">
        <w:rPr>
          <w:i/>
          <w:iCs/>
        </w:rPr>
        <w:t xml:space="preserve">in-sílico </w:t>
      </w:r>
      <w:r w:rsidR="00254435">
        <w:t>de variantes</w:t>
      </w:r>
    </w:p>
    <w:p w14:paraId="6413F8DC" w14:textId="77777777" w:rsidR="005C4BE9" w:rsidRDefault="005C4BE9" w:rsidP="005C4BE9">
      <w:pPr>
        <w:rPr>
          <w:b/>
        </w:rPr>
      </w:pPr>
    </w:p>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5F76B9CD" w14:textId="02BDF031" w:rsidR="004D4345" w:rsidRPr="00A95700" w:rsidRDefault="00345F09" w:rsidP="004D4345">
      <w:r>
        <w:t xml:space="preserve">Con esta actividad </w:t>
      </w:r>
      <w:r w:rsidR="00A95700">
        <w:t xml:space="preserve">realizarás un análisis de una variante. Para ello deberás consultar bases de datos y utilizar herramientas de análisis </w:t>
      </w:r>
      <w:r w:rsidR="00A95700">
        <w:rPr>
          <w:i/>
          <w:iCs/>
        </w:rPr>
        <w:t>in-sílico.</w:t>
      </w:r>
      <w:r w:rsidR="00A95700">
        <w:t xml:space="preserve"> Deberás integrar todos los resultados y </w:t>
      </w:r>
      <w:r w:rsidR="007079B6">
        <w:t>elaborar un discurso de asesoramiento genético.</w:t>
      </w:r>
    </w:p>
    <w:p w14:paraId="1420ADAA" w14:textId="77777777" w:rsidR="005C4BE9" w:rsidRDefault="005C4BE9" w:rsidP="005C4BE9"/>
    <w:p w14:paraId="24540078" w14:textId="5B0692A2" w:rsidR="00073FFD" w:rsidRPr="00DD4A6A" w:rsidRDefault="00DD4A6A" w:rsidP="005C4BE9">
      <w:pPr>
        <w:rPr>
          <w:b/>
          <w:bCs/>
        </w:rPr>
      </w:pPr>
      <w:r w:rsidRPr="00DD4A6A">
        <w:rPr>
          <w:b/>
          <w:bCs/>
        </w:rPr>
        <w:t>Pautas de elaboración</w:t>
      </w:r>
    </w:p>
    <w:p w14:paraId="10C66D50" w14:textId="77777777" w:rsidR="00073FFD" w:rsidRDefault="00073FFD" w:rsidP="005C4BE9"/>
    <w:p w14:paraId="299FF06F" w14:textId="65721AD4" w:rsidR="001C190C" w:rsidRDefault="001C190C" w:rsidP="005C4BE9">
      <w:r>
        <w:t xml:space="preserve">Los estudiantes estaréis distribuidos por grupos tal y como se habrá publicado en el foro de la asignatura. Observa el número del lote y el equipo de tu grupo. Tendréis que trabajar solamente con una variante según la tabla </w:t>
      </w:r>
      <w:r w:rsidR="008F2149">
        <w:t>1</w:t>
      </w:r>
      <w:r>
        <w:t>.</w:t>
      </w:r>
    </w:p>
    <w:p w14:paraId="6177B7C7" w14:textId="65157FF4" w:rsidR="001C190C" w:rsidRDefault="001C190C" w:rsidP="005C4BE9"/>
    <w:tbl>
      <w:tblPr>
        <w:tblStyle w:val="TableGrid"/>
        <w:tblW w:w="0" w:type="auto"/>
        <w:tblLook w:val="04A0" w:firstRow="1" w:lastRow="0" w:firstColumn="1" w:lastColumn="0" w:noHBand="0" w:noVBand="1"/>
      </w:tblPr>
      <w:tblGrid>
        <w:gridCol w:w="1696"/>
        <w:gridCol w:w="1843"/>
        <w:gridCol w:w="4671"/>
      </w:tblGrid>
      <w:tr w:rsidR="001C190C" w14:paraId="2894D22C" w14:textId="77777777" w:rsidTr="008F2149">
        <w:tc>
          <w:tcPr>
            <w:tcW w:w="1696" w:type="dxa"/>
          </w:tcPr>
          <w:p w14:paraId="064214E8" w14:textId="10962C45" w:rsidR="001C190C" w:rsidRDefault="001C190C" w:rsidP="005C4BE9">
            <w:r>
              <w:t>Lote</w:t>
            </w:r>
          </w:p>
        </w:tc>
        <w:tc>
          <w:tcPr>
            <w:tcW w:w="1843" w:type="dxa"/>
          </w:tcPr>
          <w:p w14:paraId="23E78EEF" w14:textId="7C2881C1" w:rsidR="001C190C" w:rsidRDefault="001C190C" w:rsidP="005C4BE9">
            <w:r>
              <w:t>Equipo</w:t>
            </w:r>
          </w:p>
        </w:tc>
        <w:tc>
          <w:tcPr>
            <w:tcW w:w="4671" w:type="dxa"/>
          </w:tcPr>
          <w:p w14:paraId="3028CEDD" w14:textId="65D14C7B" w:rsidR="001C190C" w:rsidRDefault="001C190C" w:rsidP="005C4BE9">
            <w:r>
              <w:t>Variante</w:t>
            </w:r>
            <w:r w:rsidR="008F2149">
              <w:t xml:space="preserve"> (nomenclatura según hg19)</w:t>
            </w:r>
          </w:p>
        </w:tc>
      </w:tr>
      <w:tr w:rsidR="001C190C" w14:paraId="78972D3F" w14:textId="77777777" w:rsidTr="008F2149">
        <w:tc>
          <w:tcPr>
            <w:tcW w:w="1696" w:type="dxa"/>
          </w:tcPr>
          <w:p w14:paraId="704FAC50" w14:textId="1C702A3B" w:rsidR="001C190C" w:rsidRDefault="001C190C" w:rsidP="005C4BE9">
            <w:r>
              <w:t>Par</w:t>
            </w:r>
          </w:p>
        </w:tc>
        <w:tc>
          <w:tcPr>
            <w:tcW w:w="1843" w:type="dxa"/>
          </w:tcPr>
          <w:p w14:paraId="4922490C" w14:textId="693FBF41" w:rsidR="001C190C" w:rsidRDefault="001C190C" w:rsidP="005C4BE9">
            <w:r>
              <w:t>Par</w:t>
            </w:r>
          </w:p>
        </w:tc>
        <w:tc>
          <w:tcPr>
            <w:tcW w:w="4671" w:type="dxa"/>
          </w:tcPr>
          <w:p w14:paraId="3B925A18" w14:textId="22FE48CF" w:rsidR="001C190C" w:rsidRPr="001C190C" w:rsidRDefault="00EB517F" w:rsidP="005C4BE9">
            <w:pPr>
              <w:rPr>
                <w:rFonts w:ascii="Consolas" w:hAnsi="Consolas"/>
                <w:sz w:val="19"/>
                <w:szCs w:val="19"/>
                <w:shd w:val="clear" w:color="auto" w:fill="FFFFFF"/>
              </w:rPr>
            </w:pPr>
            <w:r w:rsidRPr="008A0CCC">
              <w:t>NC_000023.10:g.38226614G&gt;A</w:t>
            </w:r>
          </w:p>
        </w:tc>
      </w:tr>
      <w:tr w:rsidR="001C190C" w14:paraId="1A27C1A8" w14:textId="77777777" w:rsidTr="008F2149">
        <w:tc>
          <w:tcPr>
            <w:tcW w:w="1696" w:type="dxa"/>
          </w:tcPr>
          <w:p w14:paraId="5AAFC49E" w14:textId="224B2D1D" w:rsidR="001C190C" w:rsidRDefault="001C190C" w:rsidP="005C4BE9">
            <w:r>
              <w:t>Par</w:t>
            </w:r>
          </w:p>
        </w:tc>
        <w:tc>
          <w:tcPr>
            <w:tcW w:w="1843" w:type="dxa"/>
          </w:tcPr>
          <w:p w14:paraId="4C7C907D" w14:textId="12427E0A" w:rsidR="001C190C" w:rsidRDefault="001C190C" w:rsidP="005C4BE9">
            <w:r>
              <w:t>Impar</w:t>
            </w:r>
          </w:p>
        </w:tc>
        <w:tc>
          <w:tcPr>
            <w:tcW w:w="4671" w:type="dxa"/>
          </w:tcPr>
          <w:p w14:paraId="2416CF9F" w14:textId="103BE5C6" w:rsidR="001C190C" w:rsidRDefault="00EB517F" w:rsidP="005C4BE9">
            <w:r w:rsidRPr="008A0CCC">
              <w:t>NC_000023.10:g.38260563G&gt;C</w:t>
            </w:r>
          </w:p>
        </w:tc>
      </w:tr>
      <w:tr w:rsidR="001C190C" w14:paraId="053D8ADF" w14:textId="77777777" w:rsidTr="008F2149">
        <w:tc>
          <w:tcPr>
            <w:tcW w:w="1696" w:type="dxa"/>
          </w:tcPr>
          <w:p w14:paraId="023D1B08" w14:textId="6C57812A" w:rsidR="001C190C" w:rsidRDefault="001C190C" w:rsidP="005C4BE9">
            <w:r>
              <w:t>Impar</w:t>
            </w:r>
          </w:p>
        </w:tc>
        <w:tc>
          <w:tcPr>
            <w:tcW w:w="1843" w:type="dxa"/>
          </w:tcPr>
          <w:p w14:paraId="17CDD0D1" w14:textId="7EC451DC" w:rsidR="001C190C" w:rsidRDefault="001C190C" w:rsidP="005C4BE9">
            <w:r>
              <w:t>Par</w:t>
            </w:r>
          </w:p>
        </w:tc>
        <w:tc>
          <w:tcPr>
            <w:tcW w:w="4671" w:type="dxa"/>
          </w:tcPr>
          <w:p w14:paraId="7D42C2F1" w14:textId="49C70162" w:rsidR="001C190C" w:rsidRDefault="00EB517F" w:rsidP="005C4BE9">
            <w:r w:rsidRPr="008A0CCC">
              <w:t>NC_000012.11:g.103246714G&gt;A</w:t>
            </w:r>
          </w:p>
        </w:tc>
      </w:tr>
      <w:tr w:rsidR="001C190C" w14:paraId="362E13EE" w14:textId="77777777" w:rsidTr="008F2149">
        <w:tc>
          <w:tcPr>
            <w:tcW w:w="1696" w:type="dxa"/>
          </w:tcPr>
          <w:p w14:paraId="25054609" w14:textId="39242399" w:rsidR="001C190C" w:rsidRDefault="001C190C" w:rsidP="005C4BE9">
            <w:r>
              <w:t>Impar</w:t>
            </w:r>
          </w:p>
        </w:tc>
        <w:tc>
          <w:tcPr>
            <w:tcW w:w="1843" w:type="dxa"/>
          </w:tcPr>
          <w:p w14:paraId="560341F6" w14:textId="67FDE1CF" w:rsidR="001C190C" w:rsidRDefault="001C190C" w:rsidP="005C4BE9">
            <w:r>
              <w:t>Impar</w:t>
            </w:r>
          </w:p>
        </w:tc>
        <w:tc>
          <w:tcPr>
            <w:tcW w:w="4671" w:type="dxa"/>
          </w:tcPr>
          <w:p w14:paraId="565C8383" w14:textId="4421288F" w:rsidR="001C190C" w:rsidRDefault="008F2149" w:rsidP="005C4BE9">
            <w:r w:rsidRPr="008A0CCC">
              <w:t>NC_000012.11:g.103246654G&gt;A</w:t>
            </w:r>
          </w:p>
        </w:tc>
      </w:tr>
    </w:tbl>
    <w:p w14:paraId="458FB230" w14:textId="0052DB61" w:rsidR="002A6179" w:rsidRDefault="00D82EB3" w:rsidP="00D82EB3">
      <w:pPr>
        <w:pStyle w:val="Piedefoto-tabla"/>
      </w:pPr>
      <w:r w:rsidRPr="00D82EB3">
        <w:t>Tabla 1. Variantes asignadas por grupos de trabajo</w:t>
      </w:r>
      <w:r>
        <w:t>.</w:t>
      </w:r>
    </w:p>
    <w:p w14:paraId="54662052" w14:textId="77777777" w:rsidR="00D82EB3" w:rsidRDefault="00D82EB3" w:rsidP="005C4BE9"/>
    <w:p w14:paraId="153ABBD6" w14:textId="187FBA6E" w:rsidR="0063320C" w:rsidRDefault="008F2149" w:rsidP="005C4BE9">
      <w:r>
        <w:t xml:space="preserve">Utilizando </w:t>
      </w:r>
      <w:hyperlink r:id="rId11" w:history="1">
        <w:r w:rsidRPr="00D82EB3">
          <w:rPr>
            <w:rStyle w:val="Hyperlink"/>
          </w:rPr>
          <w:t>Mutalyzer 2</w:t>
        </w:r>
      </w:hyperlink>
      <w:r>
        <w:t xml:space="preserve"> – “position converter”, transforma la nomenclatura de la variante a c</w:t>
      </w:r>
      <w:r w:rsidR="00057962">
        <w:t xml:space="preserve"> </w:t>
      </w:r>
      <w:r>
        <w:t xml:space="preserve">y con “Name checker” obtén la nomenclatura en p. En la actividad deberéis indicar la variante en g que os ha tocado, su nomenclatura en c </w:t>
      </w:r>
      <w:r w:rsidR="00057962">
        <w:t>y el número del transcrito según los códigos del NCBI, la nomenclatura de la variante</w:t>
      </w:r>
      <w:r>
        <w:t xml:space="preserve"> en p, el tipo de mutación del que se trata</w:t>
      </w:r>
      <w:r w:rsidR="00057962">
        <w:t xml:space="preserve"> (</w:t>
      </w:r>
      <w:r w:rsidR="00057962" w:rsidRPr="00057962">
        <w:rPr>
          <w:i/>
          <w:iCs/>
        </w:rPr>
        <w:t>missense</w:t>
      </w:r>
      <w:r w:rsidR="00057962">
        <w:t xml:space="preserve">, </w:t>
      </w:r>
      <w:r w:rsidR="00057962" w:rsidRPr="00057962">
        <w:rPr>
          <w:i/>
          <w:iCs/>
        </w:rPr>
        <w:t>nonsense</w:t>
      </w:r>
      <w:r w:rsidR="00057962">
        <w:t xml:space="preserve">, </w:t>
      </w:r>
      <w:r w:rsidR="00057962" w:rsidRPr="00057962">
        <w:rPr>
          <w:i/>
          <w:iCs/>
        </w:rPr>
        <w:t>frameshift</w:t>
      </w:r>
      <w:r w:rsidR="00057962">
        <w:t>, etc</w:t>
      </w:r>
      <w:r w:rsidR="00D82EB3">
        <w:t>.</w:t>
      </w:r>
      <w:r w:rsidR="00057962">
        <w:t>)</w:t>
      </w:r>
      <w:r>
        <w:t xml:space="preserve">, el gen en el que se localiza y el </w:t>
      </w:r>
      <w:r w:rsidRPr="008F2149">
        <w:rPr>
          <w:i/>
          <w:iCs/>
        </w:rPr>
        <w:t>locus</w:t>
      </w:r>
      <w:r>
        <w:t xml:space="preserve"> citogenético del gen.</w:t>
      </w:r>
      <w:r w:rsidR="007C7F67">
        <w:t xml:space="preserve"> Además, indica la frecuencia alélica poblacional </w:t>
      </w:r>
      <w:r w:rsidR="00807D4A">
        <w:t xml:space="preserve">general </w:t>
      </w:r>
      <w:r w:rsidR="007C7F67">
        <w:t xml:space="preserve">según la base de datos </w:t>
      </w:r>
      <w:hyperlink r:id="rId12" w:history="1">
        <w:r w:rsidR="007C7F67" w:rsidRPr="00D82EB3">
          <w:rPr>
            <w:rStyle w:val="Hyperlink"/>
          </w:rPr>
          <w:t>gnomAD</w:t>
        </w:r>
      </w:hyperlink>
      <w:r w:rsidR="007C7F67">
        <w:t>.</w:t>
      </w:r>
    </w:p>
    <w:p w14:paraId="7B632D45" w14:textId="157F3C5C" w:rsidR="00807D4A" w:rsidRDefault="00094349" w:rsidP="005C4BE9">
      <w:r>
        <w:lastRenderedPageBreak/>
        <w:t>Para l</w:t>
      </w:r>
      <w:r w:rsidR="007C7F67">
        <w:t xml:space="preserve">as </w:t>
      </w:r>
      <w:r w:rsidR="007C7F67" w:rsidRPr="00D82EB3">
        <w:rPr>
          <w:b/>
          <w:bCs/>
        </w:rPr>
        <w:t xml:space="preserve">mutaciones de </w:t>
      </w:r>
      <w:r w:rsidR="00807D4A" w:rsidRPr="00D82EB3">
        <w:rPr>
          <w:b/>
          <w:bCs/>
        </w:rPr>
        <w:t>cambio de nucleótido</w:t>
      </w:r>
      <w:r w:rsidR="007C7F67">
        <w:t xml:space="preserve"> deberéis realizar un alineamiento de secuencias con </w:t>
      </w:r>
      <w:hyperlink r:id="rId13" w:history="1">
        <w:r w:rsidR="007C7F67" w:rsidRPr="00AE4269">
          <w:rPr>
            <w:rStyle w:val="Hyperlink"/>
          </w:rPr>
          <w:t xml:space="preserve">Clustal </w:t>
        </w:r>
        <w:r w:rsidR="00AE4269">
          <w:rPr>
            <w:rStyle w:val="Hyperlink"/>
          </w:rPr>
          <w:t>Omega</w:t>
        </w:r>
      </w:hyperlink>
      <w:r w:rsidR="007C7F67">
        <w:t xml:space="preserve"> para evaluar la conservación del aminoácido afectado.</w:t>
      </w:r>
      <w:r>
        <w:t xml:space="preserve"> </w:t>
      </w:r>
      <w:r w:rsidR="007C7F67">
        <w:t>Utiliza</w:t>
      </w:r>
      <w:r>
        <w:t>d</w:t>
      </w:r>
      <w:r w:rsidR="007C7F67">
        <w:t xml:space="preserve"> las herramientas </w:t>
      </w:r>
      <w:hyperlink r:id="rId14" w:anchor="!" w:history="1">
        <w:r w:rsidR="007C7F67" w:rsidRPr="00AE4269">
          <w:rPr>
            <w:rStyle w:val="Hyperlink"/>
          </w:rPr>
          <w:t>SIFT</w:t>
        </w:r>
      </w:hyperlink>
      <w:r w:rsidR="007C7F67">
        <w:t xml:space="preserve"> y </w:t>
      </w:r>
      <w:hyperlink r:id="rId15" w:history="1">
        <w:r w:rsidR="007C7F67" w:rsidRPr="00AE4269">
          <w:rPr>
            <w:rStyle w:val="Hyperlink"/>
          </w:rPr>
          <w:t>Polyphen2</w:t>
        </w:r>
      </w:hyperlink>
      <w:r w:rsidR="007C7F67">
        <w:t xml:space="preserve"> para predecir la patogenicidad de las variantes.</w:t>
      </w:r>
      <w:r>
        <w:t xml:space="preserve"> </w:t>
      </w:r>
      <w:r w:rsidR="00807D4A">
        <w:t xml:space="preserve">Consultad en la base de datos de </w:t>
      </w:r>
      <w:hyperlink r:id="rId16" w:history="1">
        <w:r w:rsidR="00807D4A" w:rsidRPr="00510C38">
          <w:rPr>
            <w:rStyle w:val="Hyperlink"/>
          </w:rPr>
          <w:t>Uniprot</w:t>
        </w:r>
      </w:hyperlink>
      <w:r w:rsidR="00807D4A">
        <w:t xml:space="preserve"> el dominio de la proteína que se vería afectado y si predices alguna consecuencia en la proteína.</w:t>
      </w:r>
    </w:p>
    <w:p w14:paraId="17EAFBC2" w14:textId="77777777" w:rsidR="00D82EB3" w:rsidRDefault="00D82EB3" w:rsidP="005C4BE9"/>
    <w:p w14:paraId="5DAE9E0F" w14:textId="427E5A28" w:rsidR="00807D4A" w:rsidRDefault="00807D4A" w:rsidP="005C4BE9">
      <w:r>
        <w:t xml:space="preserve">Para las </w:t>
      </w:r>
      <w:r w:rsidRPr="00D82EB3">
        <w:rPr>
          <w:b/>
          <w:bCs/>
        </w:rPr>
        <w:t>mutaciones sin sentido</w:t>
      </w:r>
      <w:r>
        <w:t xml:space="preserve"> deberéis indicar la longitud total de aminoácidos de la proteína wt y de la proteína truncada (la resultante de la mutación sin sentido). Consultad en la base de datos de Uniprot los domin</w:t>
      </w:r>
      <w:r w:rsidR="00D82EB3">
        <w:t>i</w:t>
      </w:r>
      <w:r>
        <w:t>os de la proteína que se han perdido y en base a esta información, determina si la proteína resultante sería funcional.</w:t>
      </w:r>
    </w:p>
    <w:p w14:paraId="3818DBE5" w14:textId="77777777" w:rsidR="00D82EB3" w:rsidRDefault="00D82EB3" w:rsidP="005C4BE9"/>
    <w:p w14:paraId="548765A3" w14:textId="77777777" w:rsidR="006777B6" w:rsidRDefault="006777B6" w:rsidP="006777B6">
      <w:r>
        <w:t>En la actividad deberéis entregar la imagen con los resultados obtenidos con estas herramientas y argumentar los resultados.</w:t>
      </w:r>
    </w:p>
    <w:p w14:paraId="445B66E0" w14:textId="77777777" w:rsidR="00D82EB3" w:rsidRDefault="00D82EB3" w:rsidP="006777B6"/>
    <w:p w14:paraId="6715FBB1" w14:textId="261C5BBF" w:rsidR="00F71639" w:rsidRDefault="00807D4A" w:rsidP="005C4BE9">
      <w:r>
        <w:t>Para cualquier tipo de mutación, c</w:t>
      </w:r>
      <w:r w:rsidR="00DA783E">
        <w:t>onsulta</w:t>
      </w:r>
      <w:r w:rsidR="00094349">
        <w:t>d</w:t>
      </w:r>
      <w:r w:rsidR="00DA783E">
        <w:t xml:space="preserve"> en la base de datos </w:t>
      </w:r>
      <w:hyperlink r:id="rId17" w:history="1">
        <w:r w:rsidR="00DA783E" w:rsidRPr="00AE4269">
          <w:rPr>
            <w:rStyle w:val="Hyperlink"/>
          </w:rPr>
          <w:t>OMIM</w:t>
        </w:r>
      </w:hyperlink>
      <w:r w:rsidR="00DA783E">
        <w:t xml:space="preserve"> la enfermedad hereditaria que produce la variante de estudio</w:t>
      </w:r>
      <w:r w:rsidR="008710FC">
        <w:t xml:space="preserve"> y su patrón de herencia</w:t>
      </w:r>
      <w:r w:rsidR="00DA783E">
        <w:t>.</w:t>
      </w:r>
      <w:r w:rsidR="006777B6">
        <w:t xml:space="preserve"> </w:t>
      </w:r>
      <w:r w:rsidR="00F71639">
        <w:t>Buscad el pronóstico y tratamiento de la enfermedad en la bibliografía científica o en cualquier otra base de datos contrastada.</w:t>
      </w:r>
    </w:p>
    <w:p w14:paraId="61DAE279" w14:textId="77777777" w:rsidR="00D82EB3" w:rsidRDefault="00D82EB3" w:rsidP="005C4BE9"/>
    <w:p w14:paraId="3E379BD3" w14:textId="77777777" w:rsidR="00BF75BB" w:rsidRPr="00BF75BB" w:rsidRDefault="00BF75BB" w:rsidP="00BF75BB">
      <w:pPr>
        <w:rPr>
          <w:lang w:val="en-GB"/>
        </w:rPr>
      </w:pPr>
      <w:r w:rsidRPr="00BF75BB">
        <w:rPr>
          <w:b/>
          <w:bCs/>
        </w:rPr>
        <w:t>Patrón de herencia</w:t>
      </w:r>
      <w:r w:rsidRPr="00BF75BB">
        <w:rPr>
          <w:lang w:val="en-GB"/>
        </w:rPr>
        <w:t> </w:t>
      </w:r>
    </w:p>
    <w:p w14:paraId="7661CC95" w14:textId="77777777" w:rsidR="00BF75BB" w:rsidRPr="00BF75BB" w:rsidRDefault="00BF75BB" w:rsidP="00BF75BB">
      <w:pPr>
        <w:rPr>
          <w:lang w:val="en-GB"/>
        </w:rPr>
      </w:pPr>
      <w:r w:rsidRPr="00BF75BB">
        <w:t xml:space="preserve">Respecto al patrón de herencia de OTCD, históricamente se consideraba como una enfermedad dominante o parcialmente dominante ligada al cromosoma X. Esto es debido a la presentación de la sintomatología más seria en hombres homocigóticos en periodo neonatal, mientras que las mujeres heterocigotas, conocidas como “portadoras”, pueden llegar a presentar manifestaciones tardías e inespecíficas de la enfermedad ​(1,3)​. Si bien es cierto que en las mujeres es menos probable esta presentación letal temprana que en hombres, pueden experimentar diferentes manifestaciones crónicas no específicas de la enfermedad, las cuales pueden ser </w:t>
      </w:r>
      <w:r w:rsidRPr="00BF75BB">
        <w:lastRenderedPageBreak/>
        <w:t>clinicamente incomprendidas o pasadas por alto. Debido a esto, en la actualidad OTCD es conocida como una enfermedad ligada al cromosoma X sin una herencia dominante/recesiva indicada ​(4–6)​.  Para referirse a los diferentes fenotipos asociados a la enfermedad, se utilizan términos como OTCD de aparición neonatal (grave), posneonatal, o tardía (parcial) ​(5–7)​. </w:t>
      </w:r>
      <w:r w:rsidRPr="00BF75BB">
        <w:rPr>
          <w:lang w:val="en-GB"/>
        </w:rPr>
        <w:t> </w:t>
      </w:r>
    </w:p>
    <w:p w14:paraId="20F275A7" w14:textId="77777777" w:rsidR="00BF75BB" w:rsidRPr="00BF75BB" w:rsidRDefault="00BF75BB" w:rsidP="00BF75BB">
      <w:pPr>
        <w:rPr>
          <w:lang w:val="en-GB"/>
        </w:rPr>
      </w:pPr>
      <w:r w:rsidRPr="00BF75BB">
        <w:rPr>
          <w:lang w:val="en-GB"/>
        </w:rPr>
        <w:t> </w:t>
      </w:r>
    </w:p>
    <w:p w14:paraId="10985586" w14:textId="77777777" w:rsidR="00BF75BB" w:rsidRPr="00BF75BB" w:rsidRDefault="00BF75BB" w:rsidP="00BF75BB">
      <w:pPr>
        <w:rPr>
          <w:lang w:val="en-GB"/>
        </w:rPr>
      </w:pPr>
      <w:r w:rsidRPr="00BF75BB">
        <w:rPr>
          <w:b/>
          <w:bCs/>
        </w:rPr>
        <w:t>Tratamiento</w:t>
      </w:r>
      <w:r w:rsidRPr="00BF75BB">
        <w:rPr>
          <w:lang w:val="en-GB"/>
        </w:rPr>
        <w:t> </w:t>
      </w:r>
    </w:p>
    <w:p w14:paraId="3F159E97" w14:textId="77777777" w:rsidR="00BF75BB" w:rsidRPr="00BF75BB" w:rsidRDefault="00BF75BB" w:rsidP="00BF75BB">
      <w:pPr>
        <w:rPr>
          <w:lang w:val="en-GB"/>
        </w:rPr>
      </w:pPr>
      <w:r w:rsidRPr="00BF75BB">
        <w:t>El tratamiento y manejo del OTCD a largo plazo se basa principalmente en la suplementación con aminoácidos esenciales (arginina y citrulina principalmente), una dieta baja en proteínas, y el uso de dosis de agentes eliminadores de nitrógeno. Otra alternativa efectiva para el tratamiento de OTCD es el trasplante de hígado ​(8,9)​.</w:t>
      </w:r>
      <w:r w:rsidRPr="00BF75BB">
        <w:rPr>
          <w:lang w:val="en-GB"/>
        </w:rPr>
        <w:t> </w:t>
      </w:r>
    </w:p>
    <w:p w14:paraId="3B71E770" w14:textId="77777777" w:rsidR="00BF75BB" w:rsidRPr="00BF75BB" w:rsidRDefault="00BF75BB" w:rsidP="00BF75BB">
      <w:pPr>
        <w:rPr>
          <w:lang w:val="en-GB"/>
        </w:rPr>
      </w:pPr>
      <w:r w:rsidRPr="00BF75BB">
        <w:rPr>
          <w:lang w:val="en-GB"/>
        </w:rPr>
        <w:t> </w:t>
      </w:r>
    </w:p>
    <w:p w14:paraId="1BC892B3" w14:textId="77777777" w:rsidR="00BF75BB" w:rsidRPr="00BF75BB" w:rsidRDefault="00BF75BB" w:rsidP="00BF75BB">
      <w:pPr>
        <w:rPr>
          <w:lang w:val="en-GB"/>
        </w:rPr>
      </w:pPr>
      <w:r w:rsidRPr="00BF75BB">
        <w:rPr>
          <w:b/>
          <w:bCs/>
        </w:rPr>
        <w:t>Pronóstico</w:t>
      </w:r>
      <w:r w:rsidRPr="00BF75BB">
        <w:rPr>
          <w:lang w:val="en-GB"/>
        </w:rPr>
        <w:t> </w:t>
      </w:r>
    </w:p>
    <w:p w14:paraId="78B09CCA" w14:textId="77777777" w:rsidR="00BF75BB" w:rsidRPr="00BF75BB" w:rsidRDefault="00BF75BB" w:rsidP="00BF75BB">
      <w:pPr>
        <w:rPr>
          <w:lang w:val="en-GB"/>
        </w:rPr>
      </w:pPr>
      <w:r w:rsidRPr="00BF75BB">
        <w:t xml:space="preserve">El pronóstico de OTCD varía dependiendo del tiempo en el que tarda en aparecer la enfermedad. En individuos con una aparición neonatal de la enfermedad, OTCD causa una gran morbilidad y mortalidad, con una </w:t>
      </w:r>
      <w:r w:rsidRPr="00BF75BB">
        <w:rPr>
          <w:i/>
          <w:iCs/>
        </w:rPr>
        <w:t>ratio</w:t>
      </w:r>
      <w:r w:rsidRPr="00BF75BB">
        <w:t xml:space="preserve"> de mortalidad del 24% ​(10)​. En pacientes con una aparición tardía, la mortalidad baja a un 11% ​(11)​. Este pronóstico depende también de la duración de niveles elevados de amoniaco durante la crisis de exceso de amoniaco del neonato ​(7)​. Un estado de niveles elevados de amoniaco prolongado está asociado a un peor pronóstico. </w:t>
      </w:r>
      <w:r w:rsidRPr="00BF75BB">
        <w:rPr>
          <w:lang w:val="en-GB"/>
        </w:rPr>
        <w:t> </w:t>
      </w:r>
    </w:p>
    <w:p w14:paraId="2A7BE154" w14:textId="77777777" w:rsidR="00BF75BB" w:rsidRPr="00BF75BB" w:rsidRDefault="00BF75BB" w:rsidP="00BF75BB">
      <w:pPr>
        <w:rPr>
          <w:lang w:val="en-GB"/>
        </w:rPr>
      </w:pPr>
      <w:r w:rsidRPr="00BF75BB">
        <w:rPr>
          <w:lang w:val="en-GB"/>
        </w:rPr>
        <w:t> </w:t>
      </w:r>
    </w:p>
    <w:p w14:paraId="6D801560" w14:textId="77777777" w:rsidR="00BF75BB" w:rsidRPr="00BF75BB" w:rsidRDefault="00BF75BB" w:rsidP="00BF75BB">
      <w:pPr>
        <w:rPr>
          <w:lang w:val="en-GB"/>
        </w:rPr>
      </w:pPr>
      <w:r w:rsidRPr="00BF75BB">
        <w:rPr>
          <w:b/>
          <w:bCs/>
        </w:rPr>
        <w:t>Resolución problema:</w:t>
      </w:r>
      <w:r w:rsidRPr="00BF75BB">
        <w:rPr>
          <w:lang w:val="en-GB"/>
        </w:rPr>
        <w:t> </w:t>
      </w:r>
    </w:p>
    <w:p w14:paraId="65C0F71D" w14:textId="77777777" w:rsidR="00BF75BB" w:rsidRPr="00BF75BB" w:rsidRDefault="00BF75BB" w:rsidP="00BF75BB">
      <w:pPr>
        <w:rPr>
          <w:lang w:val="en-GB"/>
        </w:rPr>
      </w:pPr>
      <w:r w:rsidRPr="00BF75BB">
        <w:t>Como los mellizos son varones, habrán heredado un cromosoma Y de su padre, lo que significa que la probabilidad de que los niños estén afectados depende de la herencia del cromosoma X de la madre. Como los niños son mellizos y, por tanto, no genéticamente idénticos, la probabilidad de que estén enfermos son independientes entre ellos:</w:t>
      </w:r>
      <w:r w:rsidRPr="00BF75BB">
        <w:rPr>
          <w:lang w:val="en-GB"/>
        </w:rPr>
        <w:t> </w:t>
      </w:r>
    </w:p>
    <w:p w14:paraId="36D4FB76" w14:textId="77777777" w:rsidR="00BF75BB" w:rsidRPr="00BF75BB" w:rsidRDefault="00BF75BB" w:rsidP="00BF75BB">
      <w:pPr>
        <w:rPr>
          <w:lang w:val="en-GB"/>
        </w:rPr>
      </w:pPr>
      <w:r w:rsidRPr="00BF75BB">
        <w:t xml:space="preserve">     </w:t>
      </w:r>
    </w:p>
    <w:p w14:paraId="23BFB53C" w14:textId="77777777" w:rsidR="00BF75BB" w:rsidRPr="00BF75BB" w:rsidRDefault="00BF75BB" w:rsidP="00BF75BB">
      <w:pPr>
        <w:rPr>
          <w:lang w:val="en-GB"/>
        </w:rPr>
      </w:pPr>
      <w:r w:rsidRPr="00BF75BB">
        <w:rPr>
          <w:lang w:val="en-GB"/>
        </w:rPr>
        <w:lastRenderedPageBreak/>
        <w:t>Pambos enfermos = Pmellizo1 enfermo </w:t>
      </w:r>
      <w:r w:rsidRPr="00BF75BB">
        <w:rPr>
          <w:rFonts w:ascii="Cambria Math" w:hAnsi="Cambria Math" w:cs="Cambria Math"/>
          <w:lang w:val="en-GB"/>
        </w:rPr>
        <w:t>⋅</w:t>
      </w:r>
      <w:r w:rsidRPr="00BF75BB">
        <w:rPr>
          <w:lang w:val="en-GB"/>
        </w:rPr>
        <w:t> Pmellizo2 enfermo Pambos enfermos = Pmellizo1 enfermo </w:t>
      </w:r>
      <w:r w:rsidRPr="00BF75BB">
        <w:rPr>
          <w:rFonts w:ascii="Cambria Math" w:hAnsi="Cambria Math" w:cs="Cambria Math"/>
          <w:lang w:val="en-GB"/>
        </w:rPr>
        <w:t>⋅</w:t>
      </w:r>
      <w:r w:rsidRPr="00BF75BB">
        <w:rPr>
          <w:rFonts w:cs="Calibri"/>
          <w:lang w:val="en-GB"/>
        </w:rPr>
        <w:t> </w:t>
      </w:r>
      <w:r w:rsidRPr="00BF75BB">
        <w:rPr>
          <w:lang w:val="en-GB"/>
        </w:rPr>
        <w:t>Pmellizo2</w:t>
      </w:r>
      <w:r w:rsidRPr="00BF75BB">
        <w:rPr>
          <w:rFonts w:cs="Calibri"/>
          <w:lang w:val="en-GB"/>
        </w:rPr>
        <w:t> </w:t>
      </w:r>
      <w:r w:rsidRPr="00BF75BB">
        <w:rPr>
          <w:lang w:val="en-GB"/>
        </w:rPr>
        <w:t>enfermo</w:t>
      </w:r>
      <w:r w:rsidRPr="00BF75BB">
        <w:rPr>
          <w:rFonts w:cs="Calibri"/>
          <w:lang w:val="en-GB"/>
        </w:rPr>
        <w:t> </w:t>
      </w:r>
    </w:p>
    <w:p w14:paraId="0C9890B2" w14:textId="77777777" w:rsidR="00BF75BB" w:rsidRPr="00BF75BB" w:rsidRDefault="00BF75BB" w:rsidP="00BF75BB">
      <w:pPr>
        <w:rPr>
          <w:lang w:val="en-GB"/>
        </w:rPr>
      </w:pPr>
      <w:r w:rsidRPr="00BF75BB">
        <w:rPr>
          <w:lang w:val="en-GB"/>
        </w:rPr>
        <w:t> </w:t>
      </w:r>
    </w:p>
    <w:p w14:paraId="53F3C498" w14:textId="77777777" w:rsidR="00BF75BB" w:rsidRPr="00BF75BB" w:rsidRDefault="00BF75BB" w:rsidP="00BF75BB">
      <w:pPr>
        <w:rPr>
          <w:lang w:val="en-GB"/>
        </w:rPr>
      </w:pPr>
      <w:r w:rsidRPr="00BF75BB">
        <w:t>Los hijos solo pueden heredar 1 cromosoma X de los 2 que tiene su madre y del padre reciben sólo el Y. Si la madre es heterocigota, uno wildtype y otro la variante que estudiamos (secuencia problema, mutación pLys50Arg), la probabilidad de que sus hijos hereden el cromosoma mutado es de 0.5 (50%), ya que heredará de la madre el alelo wt o bien el alterado. Por tanto, la probabilidad para cada mellizo de estar enfermo es de un 50 %.</w:t>
      </w:r>
      <w:r w:rsidRPr="00BF75BB">
        <w:rPr>
          <w:lang w:val="en-GB"/>
        </w:rPr>
        <w:t> </w:t>
      </w:r>
    </w:p>
    <w:p w14:paraId="49C9E372" w14:textId="77777777" w:rsidR="00BF75BB" w:rsidRPr="00BF75BB" w:rsidRDefault="00BF75BB" w:rsidP="00BF75BB">
      <w:pPr>
        <w:rPr>
          <w:lang w:val="en-GB"/>
        </w:rPr>
      </w:pPr>
      <w:r w:rsidRPr="00BF75BB">
        <w:t>Debido a esto, la probabilidad conjunta de que los dos fetos estén enfermos será = 0.5 * 0.5 = 0.25. Hay un 25% de probabilidad de que ambos niños mellizos estén enfermos.</w:t>
      </w:r>
      <w:r w:rsidRPr="00BF75BB">
        <w:rPr>
          <w:lang w:val="en-GB"/>
        </w:rPr>
        <w:t> </w:t>
      </w:r>
    </w:p>
    <w:p w14:paraId="6127594A" w14:textId="77777777" w:rsidR="00BF75BB" w:rsidRPr="00BF75BB" w:rsidRDefault="00BF75BB" w:rsidP="00BF75BB">
      <w:pPr>
        <w:rPr>
          <w:lang w:val="en-GB"/>
        </w:rPr>
      </w:pPr>
      <w:r w:rsidRPr="00BF75BB">
        <w:t>En el supuesto de que la madre fuera homocigótica para la enfermedad (ambos alelos mutados), la herencia para los mellizos sería de un 100% para ambos. Debido a que heredarían bien un cromosoma X o el alternativo de la madre y ambos estarían alterados.</w:t>
      </w:r>
      <w:r w:rsidRPr="00BF75BB">
        <w:rPr>
          <w:lang w:val="en-GB"/>
        </w:rPr>
        <w:t> </w:t>
      </w:r>
    </w:p>
    <w:p w14:paraId="0D7D00E6" w14:textId="0F981E72" w:rsidR="001E7C0E" w:rsidRDefault="00D82EB3" w:rsidP="00E60F46">
      <w:r>
        <w:br w:type="page"/>
      </w:r>
    </w:p>
    <w:p w14:paraId="036A1901" w14:textId="77777777" w:rsidR="005C4BE9" w:rsidRDefault="005C4BE9" w:rsidP="005C4BE9">
      <w:pPr>
        <w:pStyle w:val="TtuloApartado3"/>
      </w:pPr>
      <w:r w:rsidRPr="005241B8">
        <w:lastRenderedPageBreak/>
        <w:t>Extensión</w:t>
      </w:r>
      <w:r>
        <w:t xml:space="preserve"> y formato</w:t>
      </w:r>
      <w:r w:rsidRPr="0015347F">
        <w:t xml:space="preserve"> </w:t>
      </w:r>
    </w:p>
    <w:p w14:paraId="184DF85C" w14:textId="77777777" w:rsidR="005C4BE9" w:rsidRDefault="005C4BE9" w:rsidP="005C4BE9"/>
    <w:p w14:paraId="77038FAD" w14:textId="50D5C086" w:rsidR="00F36402" w:rsidRDefault="0028405C" w:rsidP="00F36402">
      <w:r>
        <w:t>Extensión máxima: 8 páginas sin contar portada e índice.</w:t>
      </w:r>
      <w:r w:rsidR="00D82EB3">
        <w:t xml:space="preserve"> </w:t>
      </w:r>
      <w:r w:rsidR="00F36402">
        <w:t>U</w:t>
      </w:r>
      <w:r w:rsidR="00776EB6">
        <w:t xml:space="preserve">tiliza </w:t>
      </w:r>
      <w:r w:rsidR="00F36402">
        <w:t>la fuente de letra que desees</w:t>
      </w:r>
      <w:r w:rsidR="00776EB6">
        <w:t>, tamaño 12</w:t>
      </w:r>
      <w:r w:rsidR="00F36402">
        <w:t xml:space="preserve"> e</w:t>
      </w:r>
      <w:r w:rsidR="009364C3">
        <w:t xml:space="preserve"> interlineado 1,15</w:t>
      </w:r>
      <w:r w:rsidR="00F36402">
        <w:t xml:space="preserve">. </w:t>
      </w:r>
    </w:p>
    <w:p w14:paraId="1E2673D2" w14:textId="052BD331" w:rsidR="005C4BE9" w:rsidRDefault="005C4BE9" w:rsidP="009364C3"/>
    <w:p w14:paraId="35203C2E" w14:textId="77777777" w:rsidR="005C4BE9" w:rsidRDefault="005C4BE9" w:rsidP="005C4BE9">
      <w:pPr>
        <w:pStyle w:val="TtuloApartado3"/>
      </w:pPr>
      <w:r w:rsidRPr="005241B8">
        <w:t>Rúbrica</w:t>
      </w:r>
    </w:p>
    <w:p w14:paraId="30B1720D" w14:textId="77777777" w:rsidR="005C4BE9" w:rsidRDefault="005C4BE9" w:rsidP="005C4BE9">
      <w:pPr>
        <w:pStyle w:val="ListParagraph"/>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B7767B" w14:paraId="5587B7AF" w14:textId="77777777" w:rsidTr="00C53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78E3C7F7" w14:textId="0843A099" w:rsidR="00B7767B" w:rsidRPr="001B6678" w:rsidRDefault="00D82EB3" w:rsidP="00C53CBC">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Actividad 2 grupal. </w:t>
            </w:r>
            <w:r w:rsidR="001B6678">
              <w:rPr>
                <w:rFonts w:cs="UnitOT-Medi"/>
                <w:b w:val="0"/>
                <w:bCs w:val="0"/>
                <w:color w:val="FFFFFF" w:themeColor="background1"/>
                <w:sz w:val="22"/>
                <w:szCs w:val="22"/>
              </w:rPr>
              <w:t xml:space="preserve">Análisis </w:t>
            </w:r>
            <w:r w:rsidR="001B6678">
              <w:rPr>
                <w:rFonts w:cs="UnitOT-Medi"/>
                <w:b w:val="0"/>
                <w:bCs w:val="0"/>
                <w:i/>
                <w:iCs/>
                <w:color w:val="FFFFFF" w:themeColor="background1"/>
                <w:sz w:val="22"/>
                <w:szCs w:val="22"/>
              </w:rPr>
              <w:t>in-sílico</w:t>
            </w:r>
            <w:r w:rsidR="001B6678">
              <w:rPr>
                <w:rFonts w:cs="UnitOT-Medi"/>
                <w:b w:val="0"/>
                <w:bCs w:val="0"/>
                <w:color w:val="FFFFFF" w:themeColor="background1"/>
                <w:sz w:val="22"/>
                <w:szCs w:val="22"/>
              </w:rPr>
              <w:t xml:space="preserve"> de variantes</w:t>
            </w:r>
          </w:p>
        </w:tc>
        <w:tc>
          <w:tcPr>
            <w:tcW w:w="4221" w:type="dxa"/>
            <w:tcBorders>
              <w:bottom w:val="single" w:sz="4" w:space="0" w:color="FFFFFF" w:themeColor="background1"/>
            </w:tcBorders>
            <w:shd w:val="clear" w:color="auto" w:fill="0098CD"/>
            <w:vAlign w:val="center"/>
          </w:tcPr>
          <w:p w14:paraId="557B4BA3" w14:textId="77777777" w:rsidR="00B7767B" w:rsidRPr="006069B6" w:rsidRDefault="00B7767B" w:rsidP="00C53C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76117E42" w14:textId="77777777" w:rsidR="00B7767B" w:rsidRPr="006069B6" w:rsidRDefault="00B7767B" w:rsidP="00C53C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1825A636" w14:textId="77777777" w:rsidR="00B7767B" w:rsidRPr="006069B6" w:rsidRDefault="00B7767B" w:rsidP="00C53C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7661F62" w14:textId="77777777" w:rsidR="00B7767B" w:rsidRPr="006069B6" w:rsidRDefault="00B7767B" w:rsidP="00C53C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23CEF487" w14:textId="77777777" w:rsidR="00B7767B" w:rsidRPr="006069B6" w:rsidRDefault="00B7767B" w:rsidP="00C53C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B7767B" w14:paraId="3CFFE7BB" w14:textId="77777777" w:rsidTr="00C53CBC">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529E89D8" w14:textId="0A1CAB92" w:rsidR="00B7767B" w:rsidRPr="006069B6" w:rsidRDefault="001B6678" w:rsidP="00C53CBC">
            <w:pPr>
              <w:jc w:val="center"/>
              <w:rPr>
                <w:rFonts w:cs="UnitOT-Medi"/>
                <w:b w:val="0"/>
                <w:sz w:val="20"/>
                <w:szCs w:val="20"/>
              </w:rPr>
            </w:pPr>
            <w:r>
              <w:rPr>
                <w:rFonts w:cs="UnitOT-Medi"/>
                <w:b w:val="0"/>
                <w:bCs w:val="0"/>
                <w:sz w:val="20"/>
                <w:szCs w:val="20"/>
              </w:rPr>
              <w:t xml:space="preserve">Nomenclatura de la mutación, gen y </w:t>
            </w:r>
            <w:r w:rsidRPr="001B6678">
              <w:rPr>
                <w:rFonts w:cs="UnitOT-Medi"/>
                <w:b w:val="0"/>
                <w:bCs w:val="0"/>
                <w:i/>
                <w:iCs/>
                <w:sz w:val="20"/>
                <w:szCs w:val="20"/>
              </w:rPr>
              <w:t>locus</w:t>
            </w:r>
          </w:p>
        </w:tc>
        <w:tc>
          <w:tcPr>
            <w:tcW w:w="4221" w:type="dxa"/>
            <w:tcBorders>
              <w:left w:val="single" w:sz="4" w:space="0" w:color="0098CD"/>
              <w:bottom w:val="single" w:sz="4" w:space="0" w:color="0098CD"/>
              <w:right w:val="single" w:sz="4" w:space="0" w:color="0098CD"/>
            </w:tcBorders>
            <w:shd w:val="clear" w:color="auto" w:fill="auto"/>
            <w:vAlign w:val="center"/>
          </w:tcPr>
          <w:p w14:paraId="271AF212" w14:textId="2574B838" w:rsidR="00B7767B" w:rsidRPr="006069B6" w:rsidRDefault="001B6678"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Nomenclatura en c y p,</w:t>
            </w:r>
            <w:r w:rsidR="00986C24">
              <w:rPr>
                <w:rFonts w:cs="UnitOT-Light"/>
                <w:sz w:val="20"/>
                <w:szCs w:val="20"/>
              </w:rPr>
              <w:t xml:space="preserve"> transcrito,</w:t>
            </w:r>
            <w:r>
              <w:rPr>
                <w:rFonts w:cs="UnitOT-Light"/>
                <w:sz w:val="20"/>
                <w:szCs w:val="20"/>
              </w:rPr>
              <w:t xml:space="preserve"> gen y locus citogenético</w:t>
            </w:r>
            <w:r w:rsidR="00D82EB3">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4FC564C5" w14:textId="204F887F" w:rsidR="00B7767B" w:rsidRPr="006069B6" w:rsidRDefault="001B6678"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62B7B74D" w14:textId="2A9452FB" w:rsidR="00B7767B" w:rsidRPr="006069B6" w:rsidRDefault="001B6678"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B7767B">
              <w:rPr>
                <w:rFonts w:cs="UnitOT-Light"/>
                <w:sz w:val="20"/>
                <w:szCs w:val="20"/>
              </w:rPr>
              <w:t>0%</w:t>
            </w:r>
          </w:p>
        </w:tc>
      </w:tr>
      <w:tr w:rsidR="001B6678" w14:paraId="3C84EDA3" w14:textId="77777777" w:rsidTr="00C53CBC">
        <w:trPr>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67F52905" w14:textId="38BA88FA" w:rsidR="001B6678" w:rsidRDefault="001B6678" w:rsidP="00C53CBC">
            <w:pPr>
              <w:jc w:val="center"/>
              <w:rPr>
                <w:rFonts w:cs="UnitOT-Medi"/>
                <w:b w:val="0"/>
                <w:bCs w:val="0"/>
                <w:sz w:val="20"/>
                <w:szCs w:val="20"/>
              </w:rPr>
            </w:pPr>
            <w:r>
              <w:rPr>
                <w:rFonts w:cs="UnitOT-Medi"/>
                <w:b w:val="0"/>
                <w:bCs w:val="0"/>
                <w:sz w:val="20"/>
                <w:szCs w:val="20"/>
              </w:rPr>
              <w:t>Frecuencia alélica poblacional</w:t>
            </w:r>
          </w:p>
        </w:tc>
        <w:tc>
          <w:tcPr>
            <w:tcW w:w="4221" w:type="dxa"/>
            <w:tcBorders>
              <w:left w:val="single" w:sz="4" w:space="0" w:color="0098CD"/>
              <w:bottom w:val="single" w:sz="4" w:space="0" w:color="0098CD"/>
              <w:right w:val="single" w:sz="4" w:space="0" w:color="0098CD"/>
            </w:tcBorders>
            <w:shd w:val="clear" w:color="auto" w:fill="auto"/>
            <w:vAlign w:val="center"/>
          </w:tcPr>
          <w:p w14:paraId="43338DB7" w14:textId="09CBFD63" w:rsidR="001B6678" w:rsidRDefault="001B6678" w:rsidP="00C53C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Frecuencia alélica poblacional</w:t>
            </w:r>
            <w:r w:rsidR="00D82EB3">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2BD08AB6" w14:textId="09F2036D" w:rsidR="001B6678" w:rsidRDefault="001B6678" w:rsidP="00C53C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left w:val="single" w:sz="4" w:space="0" w:color="0098CD"/>
              <w:bottom w:val="single" w:sz="4" w:space="0" w:color="0098CD"/>
            </w:tcBorders>
            <w:shd w:val="clear" w:color="auto" w:fill="auto"/>
            <w:vAlign w:val="center"/>
          </w:tcPr>
          <w:p w14:paraId="7A662ACD" w14:textId="13651EE3" w:rsidR="001B6678" w:rsidRDefault="001B6678" w:rsidP="00C53C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p>
        </w:tc>
      </w:tr>
      <w:tr w:rsidR="001B6678" w14:paraId="7784907F" w14:textId="77777777" w:rsidTr="00C53CBC">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5DBC5D70" w14:textId="535B4BA4" w:rsidR="001B6678" w:rsidRDefault="001B6678" w:rsidP="00C53CBC">
            <w:pPr>
              <w:jc w:val="center"/>
              <w:rPr>
                <w:rFonts w:cs="UnitOT-Medi"/>
                <w:b w:val="0"/>
                <w:bCs w:val="0"/>
                <w:sz w:val="20"/>
                <w:szCs w:val="20"/>
              </w:rPr>
            </w:pPr>
            <w:r>
              <w:rPr>
                <w:rFonts w:cs="UnitOT-Medi"/>
                <w:b w:val="0"/>
                <w:bCs w:val="0"/>
                <w:sz w:val="20"/>
                <w:szCs w:val="20"/>
              </w:rPr>
              <w:t>Conservación y predicción de la patogenicidad</w:t>
            </w:r>
          </w:p>
        </w:tc>
        <w:tc>
          <w:tcPr>
            <w:tcW w:w="4221" w:type="dxa"/>
            <w:tcBorders>
              <w:left w:val="single" w:sz="4" w:space="0" w:color="0098CD"/>
              <w:bottom w:val="single" w:sz="4" w:space="0" w:color="0098CD"/>
              <w:right w:val="single" w:sz="4" w:space="0" w:color="0098CD"/>
            </w:tcBorders>
            <w:shd w:val="clear" w:color="auto" w:fill="auto"/>
            <w:vAlign w:val="center"/>
          </w:tcPr>
          <w:p w14:paraId="1E5972A6" w14:textId="71C4658D" w:rsidR="001B6678" w:rsidRDefault="001B6678"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Alineamiento de secuencias y predicción con SIFT y Polyphen2</w:t>
            </w:r>
            <w:r w:rsidR="00D82EB3">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688FFF6D" w14:textId="1B826229" w:rsidR="001B6678" w:rsidRDefault="001B6678"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left w:val="single" w:sz="4" w:space="0" w:color="0098CD"/>
              <w:bottom w:val="single" w:sz="4" w:space="0" w:color="0098CD"/>
            </w:tcBorders>
            <w:shd w:val="clear" w:color="auto" w:fill="auto"/>
            <w:vAlign w:val="center"/>
          </w:tcPr>
          <w:p w14:paraId="7746F07B" w14:textId="3F8163AC" w:rsidR="001B6678" w:rsidRDefault="001B6678"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1B6678" w14:paraId="1D20EB43" w14:textId="77777777" w:rsidTr="00C53CBC">
        <w:trPr>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BF76EC2" w14:textId="0DD581AD" w:rsidR="001B6678" w:rsidRDefault="001B6678" w:rsidP="00C53CBC">
            <w:pPr>
              <w:jc w:val="center"/>
              <w:rPr>
                <w:rFonts w:cs="UnitOT-Medi"/>
                <w:b w:val="0"/>
                <w:bCs w:val="0"/>
                <w:sz w:val="20"/>
                <w:szCs w:val="20"/>
              </w:rPr>
            </w:pPr>
            <w:r>
              <w:rPr>
                <w:rFonts w:cs="UnitOT-Medi"/>
                <w:b w:val="0"/>
                <w:bCs w:val="0"/>
                <w:sz w:val="20"/>
                <w:szCs w:val="20"/>
              </w:rPr>
              <w:t>Enfermedad y predicción en la proteína</w:t>
            </w:r>
          </w:p>
        </w:tc>
        <w:tc>
          <w:tcPr>
            <w:tcW w:w="4221" w:type="dxa"/>
            <w:tcBorders>
              <w:left w:val="single" w:sz="4" w:space="0" w:color="0098CD"/>
              <w:bottom w:val="single" w:sz="4" w:space="0" w:color="0098CD"/>
              <w:right w:val="single" w:sz="4" w:space="0" w:color="0098CD"/>
            </w:tcBorders>
            <w:shd w:val="clear" w:color="auto" w:fill="auto"/>
            <w:vAlign w:val="center"/>
          </w:tcPr>
          <w:p w14:paraId="4E60DAE6" w14:textId="1678C0F8" w:rsidR="001B6678" w:rsidRDefault="001B6678" w:rsidP="00C53C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Enfermedad hereditaria y dominios proteicos implicados</w:t>
            </w:r>
            <w:r w:rsidR="00D82EB3">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74BA7BE6" w14:textId="73FC8DF1" w:rsidR="001B6678" w:rsidRDefault="001B6678" w:rsidP="00C53C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left w:val="single" w:sz="4" w:space="0" w:color="0098CD"/>
              <w:bottom w:val="single" w:sz="4" w:space="0" w:color="0098CD"/>
            </w:tcBorders>
            <w:shd w:val="clear" w:color="auto" w:fill="auto"/>
            <w:vAlign w:val="center"/>
          </w:tcPr>
          <w:p w14:paraId="3130184C" w14:textId="445FD4E4" w:rsidR="001B6678" w:rsidRDefault="001B6678" w:rsidP="00C53C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B7767B" w14:paraId="26C7156F" w14:textId="77777777" w:rsidTr="00C53CBC">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069B3D8" w14:textId="63EFDE69" w:rsidR="00B7767B" w:rsidRPr="006069B6" w:rsidRDefault="001B6678" w:rsidP="00C53CBC">
            <w:pPr>
              <w:jc w:val="center"/>
              <w:rPr>
                <w:rFonts w:cs="UnitOT-Medi"/>
                <w:b w:val="0"/>
                <w:sz w:val="20"/>
                <w:szCs w:val="20"/>
              </w:rPr>
            </w:pPr>
            <w:r>
              <w:rPr>
                <w:rFonts w:cs="UnitOT-Medi"/>
                <w:b w:val="0"/>
                <w:sz w:val="20"/>
                <w:szCs w:val="20"/>
              </w:rPr>
              <w:t>Discurso de asesoramiento genético</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225472D" w14:textId="318FAF8E" w:rsidR="00B7767B" w:rsidRPr="006069B6" w:rsidRDefault="001B6678"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Diagnóstico, patrón de herencia, pronóstico, tratamiento, probabilidad de que los dos fetos estén enfermos</w:t>
            </w:r>
            <w:r w:rsidR="00D82EB3">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285DCA" w14:textId="0911B22B" w:rsidR="00B7767B" w:rsidRPr="006069B6" w:rsidRDefault="00107466"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36A3036C" w14:textId="1E9F6FFB" w:rsidR="00B7767B" w:rsidRPr="006069B6" w:rsidRDefault="00107466" w:rsidP="00C53C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B7767B">
              <w:rPr>
                <w:rFonts w:cs="UnitOT-Light"/>
                <w:sz w:val="20"/>
                <w:szCs w:val="20"/>
              </w:rPr>
              <w:t>0%</w:t>
            </w:r>
          </w:p>
        </w:tc>
      </w:tr>
      <w:tr w:rsidR="00B7767B" w14:paraId="3CCAA57B" w14:textId="77777777" w:rsidTr="00C53CBC">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539C8C96" w14:textId="77777777" w:rsidR="00B7767B" w:rsidRPr="005B48C2" w:rsidRDefault="00B7767B" w:rsidP="00C53CBC">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37CA3654" w14:textId="77777777" w:rsidR="00B7767B" w:rsidRPr="006069B6" w:rsidRDefault="00B7767B" w:rsidP="00C53C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392F434" w14:textId="77777777" w:rsidR="00B7767B" w:rsidRPr="006069B6" w:rsidRDefault="00B7767B" w:rsidP="00C53C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17AF57DE" w14:textId="77777777" w:rsidR="00B7767B" w:rsidRPr="006069B6" w:rsidRDefault="00B7767B" w:rsidP="00C53C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43480005" w14:textId="77777777" w:rsidR="00B23573" w:rsidRPr="005C4BE9" w:rsidRDefault="00B23573" w:rsidP="005C4BE9"/>
    <w:sectPr w:rsidR="00B23573" w:rsidRPr="005C4BE9" w:rsidSect="00331131">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B7C48" w14:textId="77777777" w:rsidR="008859B0" w:rsidRDefault="008859B0" w:rsidP="00C50246">
      <w:pPr>
        <w:spacing w:line="240" w:lineRule="auto"/>
      </w:pPr>
      <w:r>
        <w:separator/>
      </w:r>
    </w:p>
  </w:endnote>
  <w:endnote w:type="continuationSeparator" w:id="0">
    <w:p w14:paraId="286BA176" w14:textId="77777777" w:rsidR="008859B0" w:rsidRDefault="008859B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w:t>
                          </w:r>
                          <w:r w:rsidR="00632AA3">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w:t>
                    </w:r>
                    <w:r w:rsidR="00632AA3">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93724" w14:textId="77777777" w:rsidR="008859B0" w:rsidRDefault="008859B0" w:rsidP="00C50246">
      <w:pPr>
        <w:spacing w:line="240" w:lineRule="auto"/>
      </w:pPr>
      <w:r>
        <w:separator/>
      </w:r>
    </w:p>
  </w:footnote>
  <w:footnote w:type="continuationSeparator" w:id="0">
    <w:p w14:paraId="22F9AB7F" w14:textId="77777777" w:rsidR="008859B0" w:rsidRDefault="008859B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3A63C58E" w:rsidR="005C4BE9" w:rsidRPr="00472B27" w:rsidRDefault="008211E3" w:rsidP="005C4BE9">
          <w:pPr>
            <w:pStyle w:val="Textocajaactividades"/>
          </w:pPr>
          <w:r>
            <w:t>Genética Clínica y de Poblaciones</w:t>
          </w:r>
        </w:p>
      </w:tc>
      <w:tc>
        <w:tcPr>
          <w:tcW w:w="3827" w:type="dxa"/>
        </w:tcPr>
        <w:p w14:paraId="1208B90D" w14:textId="77777777" w:rsidR="005C4BE9" w:rsidRPr="00472B27" w:rsidRDefault="005C4BE9" w:rsidP="005C4BE9">
          <w:pPr>
            <w:pStyle w:val="Header"/>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Header"/>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Header"/>
          </w:pPr>
        </w:p>
      </w:tc>
      <w:tc>
        <w:tcPr>
          <w:tcW w:w="3827" w:type="dxa"/>
        </w:tcPr>
        <w:p w14:paraId="233EDCB4" w14:textId="77777777" w:rsidR="005C4BE9" w:rsidRPr="00472B27" w:rsidRDefault="005C4BE9" w:rsidP="005C4BE9">
          <w:pPr>
            <w:pStyle w:val="Header"/>
            <w:rPr>
              <w:sz w:val="22"/>
              <w:szCs w:val="22"/>
            </w:rPr>
          </w:pPr>
          <w:r w:rsidRPr="00472B27">
            <w:rPr>
              <w:sz w:val="22"/>
              <w:szCs w:val="22"/>
            </w:rPr>
            <w:t>Nombre:</w:t>
          </w:r>
        </w:p>
      </w:tc>
      <w:tc>
        <w:tcPr>
          <w:tcW w:w="1831" w:type="dxa"/>
          <w:vMerge/>
        </w:tcPr>
        <w:p w14:paraId="3DA5B497" w14:textId="77777777" w:rsidR="005C4BE9" w:rsidRDefault="005C4BE9" w:rsidP="005C4BE9">
          <w:pPr>
            <w:pStyle w:val="Header"/>
          </w:pPr>
        </w:p>
      </w:tc>
    </w:tr>
  </w:tbl>
  <w:p w14:paraId="358D7EEF" w14:textId="77777777" w:rsidR="005C4BE9" w:rsidRDefault="005C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2312758">
    <w:abstractNumId w:val="31"/>
  </w:num>
  <w:num w:numId="2" w16cid:durableId="1622954778">
    <w:abstractNumId w:val="28"/>
  </w:num>
  <w:num w:numId="3" w16cid:durableId="1696534980">
    <w:abstractNumId w:val="20"/>
  </w:num>
  <w:num w:numId="4" w16cid:durableId="1593666402">
    <w:abstractNumId w:val="21"/>
  </w:num>
  <w:num w:numId="5" w16cid:durableId="2016224478">
    <w:abstractNumId w:val="18"/>
  </w:num>
  <w:num w:numId="6" w16cid:durableId="1976253536">
    <w:abstractNumId w:val="22"/>
  </w:num>
  <w:num w:numId="7" w16cid:durableId="379941362">
    <w:abstractNumId w:val="30"/>
  </w:num>
  <w:num w:numId="8" w16cid:durableId="204098407">
    <w:abstractNumId w:val="32"/>
  </w:num>
  <w:num w:numId="9" w16cid:durableId="866912797">
    <w:abstractNumId w:val="35"/>
  </w:num>
  <w:num w:numId="10" w16cid:durableId="1704095180">
    <w:abstractNumId w:val="10"/>
  </w:num>
  <w:num w:numId="11" w16cid:durableId="37096630">
    <w:abstractNumId w:val="37"/>
  </w:num>
  <w:num w:numId="12" w16cid:durableId="1466779657">
    <w:abstractNumId w:val="23"/>
  </w:num>
  <w:num w:numId="13" w16cid:durableId="2145659154">
    <w:abstractNumId w:val="36"/>
  </w:num>
  <w:num w:numId="14" w16cid:durableId="988093239">
    <w:abstractNumId w:val="27"/>
  </w:num>
  <w:num w:numId="15" w16cid:durableId="1942453538">
    <w:abstractNumId w:val="16"/>
  </w:num>
  <w:num w:numId="16" w16cid:durableId="1324698973">
    <w:abstractNumId w:val="25"/>
  </w:num>
  <w:num w:numId="17" w16cid:durableId="1387490492">
    <w:abstractNumId w:val="24"/>
  </w:num>
  <w:num w:numId="18" w16cid:durableId="2109080604">
    <w:abstractNumId w:val="12"/>
  </w:num>
  <w:num w:numId="19" w16cid:durableId="1812139675">
    <w:abstractNumId w:val="34"/>
  </w:num>
  <w:num w:numId="20" w16cid:durableId="75806218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89767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99534422">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91272168">
    <w:abstractNumId w:val="26"/>
  </w:num>
  <w:num w:numId="24" w16cid:durableId="1976569903">
    <w:abstractNumId w:val="14"/>
  </w:num>
  <w:num w:numId="25" w16cid:durableId="1143692378">
    <w:abstractNumId w:val="15"/>
  </w:num>
  <w:num w:numId="26" w16cid:durableId="706223103">
    <w:abstractNumId w:val="11"/>
  </w:num>
  <w:num w:numId="27" w16cid:durableId="8698064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7173729">
    <w:abstractNumId w:val="8"/>
  </w:num>
  <w:num w:numId="29" w16cid:durableId="1880437221">
    <w:abstractNumId w:val="3"/>
  </w:num>
  <w:num w:numId="30" w16cid:durableId="410005227">
    <w:abstractNumId w:val="2"/>
  </w:num>
  <w:num w:numId="31" w16cid:durableId="511261180">
    <w:abstractNumId w:val="1"/>
  </w:num>
  <w:num w:numId="32" w16cid:durableId="1929345004">
    <w:abstractNumId w:val="0"/>
  </w:num>
  <w:num w:numId="33" w16cid:durableId="1636333656">
    <w:abstractNumId w:val="9"/>
  </w:num>
  <w:num w:numId="34" w16cid:durableId="1782844720">
    <w:abstractNumId w:val="7"/>
  </w:num>
  <w:num w:numId="35" w16cid:durableId="204103930">
    <w:abstractNumId w:val="6"/>
  </w:num>
  <w:num w:numId="36" w16cid:durableId="674307092">
    <w:abstractNumId w:val="5"/>
  </w:num>
  <w:num w:numId="37" w16cid:durableId="1418556405">
    <w:abstractNumId w:val="4"/>
  </w:num>
  <w:num w:numId="38" w16cid:durableId="1534033174">
    <w:abstractNumId w:val="33"/>
  </w:num>
  <w:num w:numId="39" w16cid:durableId="184562707">
    <w:abstractNumId w:val="13"/>
  </w:num>
  <w:num w:numId="40" w16cid:durableId="124256310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57962"/>
    <w:rsid w:val="00061750"/>
    <w:rsid w:val="00061BDC"/>
    <w:rsid w:val="00062C8A"/>
    <w:rsid w:val="000633BA"/>
    <w:rsid w:val="00073FFD"/>
    <w:rsid w:val="00076A78"/>
    <w:rsid w:val="000859C2"/>
    <w:rsid w:val="00092D9E"/>
    <w:rsid w:val="0009320A"/>
    <w:rsid w:val="00094349"/>
    <w:rsid w:val="00094577"/>
    <w:rsid w:val="000967AE"/>
    <w:rsid w:val="00097E24"/>
    <w:rsid w:val="000A1C17"/>
    <w:rsid w:val="000A331B"/>
    <w:rsid w:val="000A4FB9"/>
    <w:rsid w:val="000A78DB"/>
    <w:rsid w:val="000B3104"/>
    <w:rsid w:val="000B452C"/>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07466"/>
    <w:rsid w:val="00112B38"/>
    <w:rsid w:val="00121960"/>
    <w:rsid w:val="001337B6"/>
    <w:rsid w:val="001353D2"/>
    <w:rsid w:val="00137CF9"/>
    <w:rsid w:val="0015223B"/>
    <w:rsid w:val="00156BC9"/>
    <w:rsid w:val="00161226"/>
    <w:rsid w:val="001612BA"/>
    <w:rsid w:val="0016326F"/>
    <w:rsid w:val="00163FBB"/>
    <w:rsid w:val="001658DF"/>
    <w:rsid w:val="0017134A"/>
    <w:rsid w:val="00173488"/>
    <w:rsid w:val="0018310A"/>
    <w:rsid w:val="00193D6D"/>
    <w:rsid w:val="0019470A"/>
    <w:rsid w:val="00194B1F"/>
    <w:rsid w:val="00196EB1"/>
    <w:rsid w:val="0019746F"/>
    <w:rsid w:val="001A7B6C"/>
    <w:rsid w:val="001B4871"/>
    <w:rsid w:val="001B64D3"/>
    <w:rsid w:val="001B6678"/>
    <w:rsid w:val="001B7F82"/>
    <w:rsid w:val="001C1813"/>
    <w:rsid w:val="001C190C"/>
    <w:rsid w:val="001D0997"/>
    <w:rsid w:val="001E38BB"/>
    <w:rsid w:val="001E6766"/>
    <w:rsid w:val="001E6E45"/>
    <w:rsid w:val="001E72D1"/>
    <w:rsid w:val="001E737A"/>
    <w:rsid w:val="001E7BB5"/>
    <w:rsid w:val="001E7C0E"/>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54435"/>
    <w:rsid w:val="00260B21"/>
    <w:rsid w:val="002619F8"/>
    <w:rsid w:val="00262055"/>
    <w:rsid w:val="00265403"/>
    <w:rsid w:val="00271E65"/>
    <w:rsid w:val="00273725"/>
    <w:rsid w:val="00277FAF"/>
    <w:rsid w:val="0028405C"/>
    <w:rsid w:val="002845C6"/>
    <w:rsid w:val="002A4F10"/>
    <w:rsid w:val="002A6179"/>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1131"/>
    <w:rsid w:val="003369FB"/>
    <w:rsid w:val="0034363F"/>
    <w:rsid w:val="003459CF"/>
    <w:rsid w:val="00345F09"/>
    <w:rsid w:val="00346148"/>
    <w:rsid w:val="00351EC2"/>
    <w:rsid w:val="003559DD"/>
    <w:rsid w:val="00361683"/>
    <w:rsid w:val="00363DED"/>
    <w:rsid w:val="0037683C"/>
    <w:rsid w:val="00394A34"/>
    <w:rsid w:val="00394AD5"/>
    <w:rsid w:val="003A10AB"/>
    <w:rsid w:val="003A4543"/>
    <w:rsid w:val="003A55FE"/>
    <w:rsid w:val="003B0E67"/>
    <w:rsid w:val="003C2275"/>
    <w:rsid w:val="003D0269"/>
    <w:rsid w:val="003D16DC"/>
    <w:rsid w:val="003D1AB1"/>
    <w:rsid w:val="003D5C2C"/>
    <w:rsid w:val="003D5F24"/>
    <w:rsid w:val="003E6E97"/>
    <w:rsid w:val="003F24D7"/>
    <w:rsid w:val="0041334B"/>
    <w:rsid w:val="00413379"/>
    <w:rsid w:val="00414382"/>
    <w:rsid w:val="00415901"/>
    <w:rsid w:val="004164E8"/>
    <w:rsid w:val="004172DF"/>
    <w:rsid w:val="00420AC0"/>
    <w:rsid w:val="00437389"/>
    <w:rsid w:val="00446F8B"/>
    <w:rsid w:val="004476D3"/>
    <w:rsid w:val="004478AD"/>
    <w:rsid w:val="004502FA"/>
    <w:rsid w:val="00455BA7"/>
    <w:rsid w:val="004567F9"/>
    <w:rsid w:val="00466671"/>
    <w:rsid w:val="0046796B"/>
    <w:rsid w:val="00481441"/>
    <w:rsid w:val="004966B9"/>
    <w:rsid w:val="00497C87"/>
    <w:rsid w:val="004A1A48"/>
    <w:rsid w:val="004A2922"/>
    <w:rsid w:val="004B2B82"/>
    <w:rsid w:val="004B3822"/>
    <w:rsid w:val="004B7249"/>
    <w:rsid w:val="004C1059"/>
    <w:rsid w:val="004C5C33"/>
    <w:rsid w:val="004C760A"/>
    <w:rsid w:val="004D4345"/>
    <w:rsid w:val="004D4E6F"/>
    <w:rsid w:val="004D4F93"/>
    <w:rsid w:val="004E1547"/>
    <w:rsid w:val="004E5487"/>
    <w:rsid w:val="004F1492"/>
    <w:rsid w:val="004F1F3F"/>
    <w:rsid w:val="004F290D"/>
    <w:rsid w:val="004F5D83"/>
    <w:rsid w:val="004F66CC"/>
    <w:rsid w:val="0050234E"/>
    <w:rsid w:val="00507E5B"/>
    <w:rsid w:val="00510C38"/>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3F92"/>
    <w:rsid w:val="005C4BE9"/>
    <w:rsid w:val="005C520D"/>
    <w:rsid w:val="005C750B"/>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3320C"/>
    <w:rsid w:val="00643060"/>
    <w:rsid w:val="006432C0"/>
    <w:rsid w:val="006432FA"/>
    <w:rsid w:val="006439B8"/>
    <w:rsid w:val="00644965"/>
    <w:rsid w:val="006467F9"/>
    <w:rsid w:val="0065243B"/>
    <w:rsid w:val="006535C1"/>
    <w:rsid w:val="00656B43"/>
    <w:rsid w:val="00656C5C"/>
    <w:rsid w:val="006613F9"/>
    <w:rsid w:val="00664F67"/>
    <w:rsid w:val="0066551B"/>
    <w:rsid w:val="006777B6"/>
    <w:rsid w:val="006825B0"/>
    <w:rsid w:val="0069521E"/>
    <w:rsid w:val="00697E5F"/>
    <w:rsid w:val="006A210E"/>
    <w:rsid w:val="006B3751"/>
    <w:rsid w:val="006B683F"/>
    <w:rsid w:val="006C52A0"/>
    <w:rsid w:val="006C7BB7"/>
    <w:rsid w:val="006D1870"/>
    <w:rsid w:val="006D4184"/>
    <w:rsid w:val="006E3957"/>
    <w:rsid w:val="006F170A"/>
    <w:rsid w:val="006F5606"/>
    <w:rsid w:val="006F7317"/>
    <w:rsid w:val="006F79F1"/>
    <w:rsid w:val="00702914"/>
    <w:rsid w:val="00703B95"/>
    <w:rsid w:val="007079B6"/>
    <w:rsid w:val="00710277"/>
    <w:rsid w:val="00711B4D"/>
    <w:rsid w:val="00711E4C"/>
    <w:rsid w:val="00712024"/>
    <w:rsid w:val="007211EF"/>
    <w:rsid w:val="0072465C"/>
    <w:rsid w:val="00732FC1"/>
    <w:rsid w:val="0073726F"/>
    <w:rsid w:val="007425E0"/>
    <w:rsid w:val="007431BA"/>
    <w:rsid w:val="00744D29"/>
    <w:rsid w:val="00745244"/>
    <w:rsid w:val="00747CE3"/>
    <w:rsid w:val="00747E13"/>
    <w:rsid w:val="00756CD6"/>
    <w:rsid w:val="00756E1A"/>
    <w:rsid w:val="00757566"/>
    <w:rsid w:val="007616AA"/>
    <w:rsid w:val="0076263E"/>
    <w:rsid w:val="00770742"/>
    <w:rsid w:val="00771960"/>
    <w:rsid w:val="007731A9"/>
    <w:rsid w:val="00776EB6"/>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C7F67"/>
    <w:rsid w:val="007D00F6"/>
    <w:rsid w:val="007D1B3E"/>
    <w:rsid w:val="007D1E15"/>
    <w:rsid w:val="007D608C"/>
    <w:rsid w:val="007E4840"/>
    <w:rsid w:val="007F3640"/>
    <w:rsid w:val="007F691E"/>
    <w:rsid w:val="0080425D"/>
    <w:rsid w:val="00807D4A"/>
    <w:rsid w:val="008127E5"/>
    <w:rsid w:val="00816222"/>
    <w:rsid w:val="00816578"/>
    <w:rsid w:val="00816888"/>
    <w:rsid w:val="008211E3"/>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10FC"/>
    <w:rsid w:val="008745E4"/>
    <w:rsid w:val="008807AF"/>
    <w:rsid w:val="0088459B"/>
    <w:rsid w:val="008859B0"/>
    <w:rsid w:val="00891011"/>
    <w:rsid w:val="00891308"/>
    <w:rsid w:val="008A0CCC"/>
    <w:rsid w:val="008A17AA"/>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8F2149"/>
    <w:rsid w:val="00902D15"/>
    <w:rsid w:val="00917348"/>
    <w:rsid w:val="00921AE9"/>
    <w:rsid w:val="009233B9"/>
    <w:rsid w:val="00935FD2"/>
    <w:rsid w:val="009364C3"/>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6C24"/>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3F61"/>
    <w:rsid w:val="00A645D8"/>
    <w:rsid w:val="00A66451"/>
    <w:rsid w:val="00A6682D"/>
    <w:rsid w:val="00A67DBC"/>
    <w:rsid w:val="00A71D6D"/>
    <w:rsid w:val="00A76AA2"/>
    <w:rsid w:val="00A76D45"/>
    <w:rsid w:val="00A77244"/>
    <w:rsid w:val="00A80F5B"/>
    <w:rsid w:val="00A8255E"/>
    <w:rsid w:val="00A838E4"/>
    <w:rsid w:val="00A839D0"/>
    <w:rsid w:val="00A86F97"/>
    <w:rsid w:val="00A9140C"/>
    <w:rsid w:val="00A944F6"/>
    <w:rsid w:val="00A95700"/>
    <w:rsid w:val="00A969BA"/>
    <w:rsid w:val="00A976B2"/>
    <w:rsid w:val="00AA3D8B"/>
    <w:rsid w:val="00AB2DE2"/>
    <w:rsid w:val="00AC4102"/>
    <w:rsid w:val="00AD4F85"/>
    <w:rsid w:val="00AD5510"/>
    <w:rsid w:val="00AE4269"/>
    <w:rsid w:val="00AF1487"/>
    <w:rsid w:val="00AF501E"/>
    <w:rsid w:val="00AF5B79"/>
    <w:rsid w:val="00B0196C"/>
    <w:rsid w:val="00B02EF8"/>
    <w:rsid w:val="00B03326"/>
    <w:rsid w:val="00B0793D"/>
    <w:rsid w:val="00B10BBE"/>
    <w:rsid w:val="00B1656E"/>
    <w:rsid w:val="00B22F15"/>
    <w:rsid w:val="00B23573"/>
    <w:rsid w:val="00B309CA"/>
    <w:rsid w:val="00B31EC8"/>
    <w:rsid w:val="00B407F7"/>
    <w:rsid w:val="00B417CD"/>
    <w:rsid w:val="00B5171A"/>
    <w:rsid w:val="00B61D67"/>
    <w:rsid w:val="00B67479"/>
    <w:rsid w:val="00B70F9D"/>
    <w:rsid w:val="00B71FC6"/>
    <w:rsid w:val="00B72D4C"/>
    <w:rsid w:val="00B7767B"/>
    <w:rsid w:val="00B8087F"/>
    <w:rsid w:val="00B814A5"/>
    <w:rsid w:val="00B96994"/>
    <w:rsid w:val="00BA172C"/>
    <w:rsid w:val="00BA17EF"/>
    <w:rsid w:val="00BA38FB"/>
    <w:rsid w:val="00BC2EB1"/>
    <w:rsid w:val="00BD13D7"/>
    <w:rsid w:val="00BD614C"/>
    <w:rsid w:val="00BE0B57"/>
    <w:rsid w:val="00BE65ED"/>
    <w:rsid w:val="00BF75BB"/>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6188E"/>
    <w:rsid w:val="00C67873"/>
    <w:rsid w:val="00C71FA7"/>
    <w:rsid w:val="00C73672"/>
    <w:rsid w:val="00C8543E"/>
    <w:rsid w:val="00C870D5"/>
    <w:rsid w:val="00C876E4"/>
    <w:rsid w:val="00C92BE5"/>
    <w:rsid w:val="00CA2352"/>
    <w:rsid w:val="00CA4E9E"/>
    <w:rsid w:val="00CB506B"/>
    <w:rsid w:val="00CB526C"/>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82EB3"/>
    <w:rsid w:val="00D901FA"/>
    <w:rsid w:val="00D95965"/>
    <w:rsid w:val="00DA1A7B"/>
    <w:rsid w:val="00DA4A6D"/>
    <w:rsid w:val="00DA783E"/>
    <w:rsid w:val="00DB5335"/>
    <w:rsid w:val="00DC032A"/>
    <w:rsid w:val="00DC0C49"/>
    <w:rsid w:val="00DC3808"/>
    <w:rsid w:val="00DD0B32"/>
    <w:rsid w:val="00DD20C2"/>
    <w:rsid w:val="00DD2649"/>
    <w:rsid w:val="00DD4A6A"/>
    <w:rsid w:val="00DE4211"/>
    <w:rsid w:val="00DE4822"/>
    <w:rsid w:val="00DF0BC0"/>
    <w:rsid w:val="00DF30F7"/>
    <w:rsid w:val="00DF4F22"/>
    <w:rsid w:val="00DF784B"/>
    <w:rsid w:val="00E07E19"/>
    <w:rsid w:val="00E109D5"/>
    <w:rsid w:val="00E13626"/>
    <w:rsid w:val="00E144E3"/>
    <w:rsid w:val="00E170B6"/>
    <w:rsid w:val="00E2314E"/>
    <w:rsid w:val="00E238EB"/>
    <w:rsid w:val="00E300D2"/>
    <w:rsid w:val="00E30FFF"/>
    <w:rsid w:val="00E32D33"/>
    <w:rsid w:val="00E44538"/>
    <w:rsid w:val="00E46BF3"/>
    <w:rsid w:val="00E50BF5"/>
    <w:rsid w:val="00E50F48"/>
    <w:rsid w:val="00E51CEE"/>
    <w:rsid w:val="00E54E03"/>
    <w:rsid w:val="00E60F46"/>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17F"/>
    <w:rsid w:val="00EB5FE2"/>
    <w:rsid w:val="00EC2261"/>
    <w:rsid w:val="00EC4F65"/>
    <w:rsid w:val="00EC5B06"/>
    <w:rsid w:val="00EC60F0"/>
    <w:rsid w:val="00ED3160"/>
    <w:rsid w:val="00ED56EF"/>
    <w:rsid w:val="00ED5A97"/>
    <w:rsid w:val="00ED6BDC"/>
    <w:rsid w:val="00EE11E9"/>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402"/>
    <w:rsid w:val="00F36633"/>
    <w:rsid w:val="00F37058"/>
    <w:rsid w:val="00F4274A"/>
    <w:rsid w:val="00F46137"/>
    <w:rsid w:val="00F5055C"/>
    <w:rsid w:val="00F5206A"/>
    <w:rsid w:val="00F617AA"/>
    <w:rsid w:val="00F61F08"/>
    <w:rsid w:val="00F62CF4"/>
    <w:rsid w:val="00F63170"/>
    <w:rsid w:val="00F65B6D"/>
    <w:rsid w:val="00F71639"/>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455A"/>
    <w:rsid w:val="00FE65DA"/>
    <w:rsid w:val="00FE7BCD"/>
    <w:rsid w:val="00FF16D9"/>
    <w:rsid w:val="00FF1E83"/>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tabs>
        <w:tab w:val="num" w:pos="360"/>
      </w:tabs>
      <w:ind w:left="0" w:firstLine="0"/>
    </w:pPr>
  </w:style>
  <w:style w:type="character" w:customStyle="1" w:styleId="Heading2Char">
    <w:name w:val="Heading 2 Char"/>
    <w:basedOn w:val="DefaultParagraphFont"/>
    <w:link w:val="Heading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rsid w:val="00A838E4"/>
    <w:pPr>
      <w:tabs>
        <w:tab w:val="right" w:pos="5810"/>
      </w:tabs>
      <w:spacing w:before="120"/>
      <w:ind w:left="284"/>
      <w:jc w:val="left"/>
    </w:pPr>
    <w:rPr>
      <w:noProof/>
      <w:color w:val="008FBE"/>
    </w:rPr>
  </w:style>
  <w:style w:type="paragraph" w:styleId="TO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Footer">
    <w:name w:val="footer"/>
    <w:basedOn w:val="Normal"/>
    <w:link w:val="FooterChar"/>
    <w:uiPriority w:val="24"/>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8D72F2"/>
    <w:rPr>
      <w:rFonts w:ascii="Calibri" w:hAnsi="Calibri" w:cs="Times New Roman"/>
      <w:color w:val="333333"/>
      <w:sz w:val="24"/>
      <w:szCs w:val="24"/>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Header">
    <w:name w:val="header"/>
    <w:basedOn w:val="Normal"/>
    <w:link w:val="HeaderChar"/>
    <w:uiPriority w:val="99"/>
    <w:qFormat/>
    <w:rsid w:val="00921AE9"/>
    <w:pPr>
      <w:tabs>
        <w:tab w:val="center" w:pos="4252"/>
        <w:tab w:val="right" w:pos="8504"/>
      </w:tabs>
      <w:spacing w:line="240" w:lineRule="auto"/>
    </w:pPr>
  </w:style>
  <w:style w:type="character" w:customStyle="1" w:styleId="HeaderChar">
    <w:name w:val="Header Char"/>
    <w:basedOn w:val="DefaultParagraphFont"/>
    <w:link w:val="Header"/>
    <w:uiPriority w:val="99"/>
    <w:rsid w:val="008D72F2"/>
    <w:rPr>
      <w:rFonts w:ascii="Calibri" w:hAnsi="Calibri" w:cs="Times New Roman"/>
      <w:color w:val="333333"/>
      <w:sz w:val="24"/>
      <w:szCs w:val="24"/>
      <w:lang w:eastAsia="es-ES"/>
    </w:rPr>
  </w:style>
  <w:style w:type="paragraph" w:styleId="FootnoteText">
    <w:name w:val="footnote text"/>
    <w:basedOn w:val="Normal"/>
    <w:link w:val="FootnoteTextChar"/>
    <w:uiPriority w:val="99"/>
    <w:rsid w:val="008B7EF4"/>
    <w:pPr>
      <w:spacing w:line="240" w:lineRule="auto"/>
    </w:pPr>
    <w:rPr>
      <w:sz w:val="20"/>
      <w:szCs w:val="20"/>
    </w:rPr>
  </w:style>
  <w:style w:type="character" w:customStyle="1" w:styleId="FootnoteTextChar">
    <w:name w:val="Footnote Text Char"/>
    <w:basedOn w:val="DefaultParagraphFont"/>
    <w:link w:val="FootnoteText"/>
    <w:uiPriority w:val="99"/>
    <w:rsid w:val="008D72F2"/>
    <w:rPr>
      <w:rFonts w:ascii="Calibri" w:hAnsi="Calibri" w:cs="Times New Roman"/>
      <w:color w:val="333333"/>
      <w:sz w:val="20"/>
      <w:szCs w:val="20"/>
      <w:lang w:eastAsia="es-ES"/>
    </w:rPr>
  </w:style>
  <w:style w:type="character" w:styleId="UnresolvedMention">
    <w:name w:val="Unresolved Mention"/>
    <w:basedOn w:val="DefaultParagraphFont"/>
    <w:uiPriority w:val="99"/>
    <w:rsid w:val="004F66CC"/>
    <w:rPr>
      <w:color w:val="808080"/>
      <w:shd w:val="clear" w:color="auto" w:fill="E6E6E6"/>
    </w:rPr>
  </w:style>
  <w:style w:type="paragraph" w:styleId="BalloonText">
    <w:name w:val="Balloon Text"/>
    <w:basedOn w:val="Normal"/>
    <w:link w:val="BalloonTextChar"/>
    <w:uiPriority w:val="99"/>
    <w:rsid w:val="002E7B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e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e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e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e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ListParagraph">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e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DefaultParagraphFont"/>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 w:type="character" w:styleId="CommentReference">
    <w:name w:val="annotation reference"/>
    <w:basedOn w:val="DefaultParagraphFont"/>
    <w:uiPriority w:val="99"/>
    <w:rsid w:val="004502FA"/>
    <w:rPr>
      <w:sz w:val="16"/>
      <w:szCs w:val="16"/>
    </w:rPr>
  </w:style>
  <w:style w:type="paragraph" w:styleId="CommentText">
    <w:name w:val="annotation text"/>
    <w:basedOn w:val="Normal"/>
    <w:link w:val="CommentTextChar"/>
    <w:uiPriority w:val="99"/>
    <w:rsid w:val="004502FA"/>
    <w:pPr>
      <w:spacing w:line="240" w:lineRule="auto"/>
    </w:pPr>
    <w:rPr>
      <w:sz w:val="20"/>
      <w:szCs w:val="20"/>
    </w:rPr>
  </w:style>
  <w:style w:type="character" w:customStyle="1" w:styleId="CommentTextChar">
    <w:name w:val="Comment Text Char"/>
    <w:basedOn w:val="DefaultParagraphFont"/>
    <w:link w:val="CommentText"/>
    <w:uiPriority w:val="99"/>
    <w:rsid w:val="004502FA"/>
    <w:rPr>
      <w:rFonts w:ascii="Calibri" w:hAnsi="Calibri" w:cs="Times New Roman"/>
      <w:color w:val="333333"/>
      <w:sz w:val="20"/>
      <w:szCs w:val="20"/>
      <w:lang w:eastAsia="es-ES"/>
    </w:rPr>
  </w:style>
  <w:style w:type="paragraph" w:styleId="HTMLPreformatted">
    <w:name w:val="HTML Preformatted"/>
    <w:basedOn w:val="Normal"/>
    <w:link w:val="HTMLPreformattedChar"/>
    <w:uiPriority w:val="99"/>
    <w:unhideWhenUsed/>
    <w:rsid w:val="0063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63320C"/>
    <w:rPr>
      <w:rFonts w:ascii="Courier New"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1039">
      <w:bodyDiv w:val="1"/>
      <w:marLeft w:val="0"/>
      <w:marRight w:val="0"/>
      <w:marTop w:val="0"/>
      <w:marBottom w:val="0"/>
      <w:divBdr>
        <w:top w:val="none" w:sz="0" w:space="0" w:color="auto"/>
        <w:left w:val="none" w:sz="0" w:space="0" w:color="auto"/>
        <w:bottom w:val="none" w:sz="0" w:space="0" w:color="auto"/>
        <w:right w:val="none" w:sz="0" w:space="0" w:color="auto"/>
      </w:divBdr>
      <w:divsChild>
        <w:div w:id="468593300">
          <w:marLeft w:val="0"/>
          <w:marRight w:val="0"/>
          <w:marTop w:val="0"/>
          <w:marBottom w:val="0"/>
          <w:divBdr>
            <w:top w:val="none" w:sz="0" w:space="0" w:color="auto"/>
            <w:left w:val="none" w:sz="0" w:space="0" w:color="auto"/>
            <w:bottom w:val="none" w:sz="0" w:space="0" w:color="auto"/>
            <w:right w:val="none" w:sz="0" w:space="0" w:color="auto"/>
          </w:divBdr>
        </w:div>
        <w:div w:id="359673705">
          <w:marLeft w:val="0"/>
          <w:marRight w:val="0"/>
          <w:marTop w:val="0"/>
          <w:marBottom w:val="0"/>
          <w:divBdr>
            <w:top w:val="none" w:sz="0" w:space="0" w:color="auto"/>
            <w:left w:val="none" w:sz="0" w:space="0" w:color="auto"/>
            <w:bottom w:val="none" w:sz="0" w:space="0" w:color="auto"/>
            <w:right w:val="none" w:sz="0" w:space="0" w:color="auto"/>
          </w:divBdr>
        </w:div>
        <w:div w:id="1756979349">
          <w:marLeft w:val="0"/>
          <w:marRight w:val="0"/>
          <w:marTop w:val="0"/>
          <w:marBottom w:val="0"/>
          <w:divBdr>
            <w:top w:val="none" w:sz="0" w:space="0" w:color="auto"/>
            <w:left w:val="none" w:sz="0" w:space="0" w:color="auto"/>
            <w:bottom w:val="none" w:sz="0" w:space="0" w:color="auto"/>
            <w:right w:val="none" w:sz="0" w:space="0" w:color="auto"/>
          </w:divBdr>
        </w:div>
        <w:div w:id="1482236075">
          <w:marLeft w:val="0"/>
          <w:marRight w:val="0"/>
          <w:marTop w:val="0"/>
          <w:marBottom w:val="0"/>
          <w:divBdr>
            <w:top w:val="none" w:sz="0" w:space="0" w:color="auto"/>
            <w:left w:val="none" w:sz="0" w:space="0" w:color="auto"/>
            <w:bottom w:val="none" w:sz="0" w:space="0" w:color="auto"/>
            <w:right w:val="none" w:sz="0" w:space="0" w:color="auto"/>
          </w:divBdr>
        </w:div>
        <w:div w:id="1506745612">
          <w:marLeft w:val="0"/>
          <w:marRight w:val="0"/>
          <w:marTop w:val="0"/>
          <w:marBottom w:val="0"/>
          <w:divBdr>
            <w:top w:val="none" w:sz="0" w:space="0" w:color="auto"/>
            <w:left w:val="none" w:sz="0" w:space="0" w:color="auto"/>
            <w:bottom w:val="none" w:sz="0" w:space="0" w:color="auto"/>
            <w:right w:val="none" w:sz="0" w:space="0" w:color="auto"/>
          </w:divBdr>
        </w:div>
        <w:div w:id="1689477556">
          <w:marLeft w:val="0"/>
          <w:marRight w:val="0"/>
          <w:marTop w:val="0"/>
          <w:marBottom w:val="0"/>
          <w:divBdr>
            <w:top w:val="none" w:sz="0" w:space="0" w:color="auto"/>
            <w:left w:val="none" w:sz="0" w:space="0" w:color="auto"/>
            <w:bottom w:val="none" w:sz="0" w:space="0" w:color="auto"/>
            <w:right w:val="none" w:sz="0" w:space="0" w:color="auto"/>
          </w:divBdr>
        </w:div>
        <w:div w:id="1349598120">
          <w:marLeft w:val="0"/>
          <w:marRight w:val="0"/>
          <w:marTop w:val="0"/>
          <w:marBottom w:val="0"/>
          <w:divBdr>
            <w:top w:val="none" w:sz="0" w:space="0" w:color="auto"/>
            <w:left w:val="none" w:sz="0" w:space="0" w:color="auto"/>
            <w:bottom w:val="none" w:sz="0" w:space="0" w:color="auto"/>
            <w:right w:val="none" w:sz="0" w:space="0" w:color="auto"/>
          </w:divBdr>
        </w:div>
        <w:div w:id="897089129">
          <w:marLeft w:val="0"/>
          <w:marRight w:val="0"/>
          <w:marTop w:val="0"/>
          <w:marBottom w:val="0"/>
          <w:divBdr>
            <w:top w:val="none" w:sz="0" w:space="0" w:color="auto"/>
            <w:left w:val="none" w:sz="0" w:space="0" w:color="auto"/>
            <w:bottom w:val="none" w:sz="0" w:space="0" w:color="auto"/>
            <w:right w:val="none" w:sz="0" w:space="0" w:color="auto"/>
          </w:divBdr>
        </w:div>
        <w:div w:id="782529779">
          <w:marLeft w:val="0"/>
          <w:marRight w:val="0"/>
          <w:marTop w:val="0"/>
          <w:marBottom w:val="0"/>
          <w:divBdr>
            <w:top w:val="none" w:sz="0" w:space="0" w:color="auto"/>
            <w:left w:val="none" w:sz="0" w:space="0" w:color="auto"/>
            <w:bottom w:val="none" w:sz="0" w:space="0" w:color="auto"/>
            <w:right w:val="none" w:sz="0" w:space="0" w:color="auto"/>
          </w:divBdr>
        </w:div>
        <w:div w:id="747271555">
          <w:marLeft w:val="0"/>
          <w:marRight w:val="0"/>
          <w:marTop w:val="0"/>
          <w:marBottom w:val="0"/>
          <w:divBdr>
            <w:top w:val="none" w:sz="0" w:space="0" w:color="auto"/>
            <w:left w:val="none" w:sz="0" w:space="0" w:color="auto"/>
            <w:bottom w:val="none" w:sz="0" w:space="0" w:color="auto"/>
            <w:right w:val="none" w:sz="0" w:space="0" w:color="auto"/>
          </w:divBdr>
        </w:div>
        <w:div w:id="1224632802">
          <w:marLeft w:val="0"/>
          <w:marRight w:val="0"/>
          <w:marTop w:val="0"/>
          <w:marBottom w:val="0"/>
          <w:divBdr>
            <w:top w:val="none" w:sz="0" w:space="0" w:color="auto"/>
            <w:left w:val="none" w:sz="0" w:space="0" w:color="auto"/>
            <w:bottom w:val="none" w:sz="0" w:space="0" w:color="auto"/>
            <w:right w:val="none" w:sz="0" w:space="0" w:color="auto"/>
          </w:divBdr>
        </w:div>
        <w:div w:id="493691104">
          <w:marLeft w:val="0"/>
          <w:marRight w:val="0"/>
          <w:marTop w:val="0"/>
          <w:marBottom w:val="0"/>
          <w:divBdr>
            <w:top w:val="none" w:sz="0" w:space="0" w:color="auto"/>
            <w:left w:val="none" w:sz="0" w:space="0" w:color="auto"/>
            <w:bottom w:val="none" w:sz="0" w:space="0" w:color="auto"/>
            <w:right w:val="none" w:sz="0" w:space="0" w:color="auto"/>
          </w:divBdr>
        </w:div>
        <w:div w:id="965696361">
          <w:marLeft w:val="0"/>
          <w:marRight w:val="0"/>
          <w:marTop w:val="0"/>
          <w:marBottom w:val="0"/>
          <w:divBdr>
            <w:top w:val="none" w:sz="0" w:space="0" w:color="auto"/>
            <w:left w:val="none" w:sz="0" w:space="0" w:color="auto"/>
            <w:bottom w:val="none" w:sz="0" w:space="0" w:color="auto"/>
            <w:right w:val="none" w:sz="0" w:space="0" w:color="auto"/>
          </w:divBdr>
        </w:div>
        <w:div w:id="1857385072">
          <w:marLeft w:val="0"/>
          <w:marRight w:val="0"/>
          <w:marTop w:val="0"/>
          <w:marBottom w:val="0"/>
          <w:divBdr>
            <w:top w:val="none" w:sz="0" w:space="0" w:color="auto"/>
            <w:left w:val="none" w:sz="0" w:space="0" w:color="auto"/>
            <w:bottom w:val="none" w:sz="0" w:space="0" w:color="auto"/>
            <w:right w:val="none" w:sz="0" w:space="0" w:color="auto"/>
          </w:divBdr>
        </w:div>
        <w:div w:id="1845510285">
          <w:marLeft w:val="0"/>
          <w:marRight w:val="0"/>
          <w:marTop w:val="0"/>
          <w:marBottom w:val="0"/>
          <w:divBdr>
            <w:top w:val="none" w:sz="0" w:space="0" w:color="auto"/>
            <w:left w:val="none" w:sz="0" w:space="0" w:color="auto"/>
            <w:bottom w:val="none" w:sz="0" w:space="0" w:color="auto"/>
            <w:right w:val="none" w:sz="0" w:space="0" w:color="auto"/>
          </w:divBdr>
        </w:div>
      </w:divsChild>
    </w:div>
    <w:div w:id="476267848">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770784991">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748309680">
      <w:bodyDiv w:val="1"/>
      <w:marLeft w:val="0"/>
      <w:marRight w:val="0"/>
      <w:marTop w:val="0"/>
      <w:marBottom w:val="0"/>
      <w:divBdr>
        <w:top w:val="none" w:sz="0" w:space="0" w:color="auto"/>
        <w:left w:val="none" w:sz="0" w:space="0" w:color="auto"/>
        <w:bottom w:val="none" w:sz="0" w:space="0" w:color="auto"/>
        <w:right w:val="none" w:sz="0" w:space="0" w:color="auto"/>
      </w:divBdr>
      <w:divsChild>
        <w:div w:id="1141773371">
          <w:marLeft w:val="0"/>
          <w:marRight w:val="0"/>
          <w:marTop w:val="0"/>
          <w:marBottom w:val="0"/>
          <w:divBdr>
            <w:top w:val="none" w:sz="0" w:space="0" w:color="auto"/>
            <w:left w:val="none" w:sz="0" w:space="0" w:color="auto"/>
            <w:bottom w:val="none" w:sz="0" w:space="0" w:color="auto"/>
            <w:right w:val="none" w:sz="0" w:space="0" w:color="auto"/>
          </w:divBdr>
        </w:div>
        <w:div w:id="918752351">
          <w:marLeft w:val="0"/>
          <w:marRight w:val="0"/>
          <w:marTop w:val="0"/>
          <w:marBottom w:val="0"/>
          <w:divBdr>
            <w:top w:val="none" w:sz="0" w:space="0" w:color="auto"/>
            <w:left w:val="none" w:sz="0" w:space="0" w:color="auto"/>
            <w:bottom w:val="none" w:sz="0" w:space="0" w:color="auto"/>
            <w:right w:val="none" w:sz="0" w:space="0" w:color="auto"/>
          </w:divBdr>
        </w:div>
        <w:div w:id="302541349">
          <w:marLeft w:val="0"/>
          <w:marRight w:val="0"/>
          <w:marTop w:val="0"/>
          <w:marBottom w:val="0"/>
          <w:divBdr>
            <w:top w:val="none" w:sz="0" w:space="0" w:color="auto"/>
            <w:left w:val="none" w:sz="0" w:space="0" w:color="auto"/>
            <w:bottom w:val="none" w:sz="0" w:space="0" w:color="auto"/>
            <w:right w:val="none" w:sz="0" w:space="0" w:color="auto"/>
          </w:divBdr>
        </w:div>
        <w:div w:id="1154487961">
          <w:marLeft w:val="0"/>
          <w:marRight w:val="0"/>
          <w:marTop w:val="0"/>
          <w:marBottom w:val="0"/>
          <w:divBdr>
            <w:top w:val="none" w:sz="0" w:space="0" w:color="auto"/>
            <w:left w:val="none" w:sz="0" w:space="0" w:color="auto"/>
            <w:bottom w:val="none" w:sz="0" w:space="0" w:color="auto"/>
            <w:right w:val="none" w:sz="0" w:space="0" w:color="auto"/>
          </w:divBdr>
        </w:div>
        <w:div w:id="2025593871">
          <w:marLeft w:val="0"/>
          <w:marRight w:val="0"/>
          <w:marTop w:val="0"/>
          <w:marBottom w:val="0"/>
          <w:divBdr>
            <w:top w:val="none" w:sz="0" w:space="0" w:color="auto"/>
            <w:left w:val="none" w:sz="0" w:space="0" w:color="auto"/>
            <w:bottom w:val="none" w:sz="0" w:space="0" w:color="auto"/>
            <w:right w:val="none" w:sz="0" w:space="0" w:color="auto"/>
          </w:divBdr>
        </w:div>
        <w:div w:id="1917202850">
          <w:marLeft w:val="0"/>
          <w:marRight w:val="0"/>
          <w:marTop w:val="0"/>
          <w:marBottom w:val="0"/>
          <w:divBdr>
            <w:top w:val="none" w:sz="0" w:space="0" w:color="auto"/>
            <w:left w:val="none" w:sz="0" w:space="0" w:color="auto"/>
            <w:bottom w:val="none" w:sz="0" w:space="0" w:color="auto"/>
            <w:right w:val="none" w:sz="0" w:space="0" w:color="auto"/>
          </w:divBdr>
        </w:div>
        <w:div w:id="590705719">
          <w:marLeft w:val="0"/>
          <w:marRight w:val="0"/>
          <w:marTop w:val="0"/>
          <w:marBottom w:val="0"/>
          <w:divBdr>
            <w:top w:val="none" w:sz="0" w:space="0" w:color="auto"/>
            <w:left w:val="none" w:sz="0" w:space="0" w:color="auto"/>
            <w:bottom w:val="none" w:sz="0" w:space="0" w:color="auto"/>
            <w:right w:val="none" w:sz="0" w:space="0" w:color="auto"/>
          </w:divBdr>
        </w:div>
        <w:div w:id="299191042">
          <w:marLeft w:val="0"/>
          <w:marRight w:val="0"/>
          <w:marTop w:val="0"/>
          <w:marBottom w:val="0"/>
          <w:divBdr>
            <w:top w:val="none" w:sz="0" w:space="0" w:color="auto"/>
            <w:left w:val="none" w:sz="0" w:space="0" w:color="auto"/>
            <w:bottom w:val="none" w:sz="0" w:space="0" w:color="auto"/>
            <w:right w:val="none" w:sz="0" w:space="0" w:color="auto"/>
          </w:divBdr>
        </w:div>
        <w:div w:id="571619712">
          <w:marLeft w:val="0"/>
          <w:marRight w:val="0"/>
          <w:marTop w:val="0"/>
          <w:marBottom w:val="0"/>
          <w:divBdr>
            <w:top w:val="none" w:sz="0" w:space="0" w:color="auto"/>
            <w:left w:val="none" w:sz="0" w:space="0" w:color="auto"/>
            <w:bottom w:val="none" w:sz="0" w:space="0" w:color="auto"/>
            <w:right w:val="none" w:sz="0" w:space="0" w:color="auto"/>
          </w:divBdr>
        </w:div>
        <w:div w:id="2127233796">
          <w:marLeft w:val="0"/>
          <w:marRight w:val="0"/>
          <w:marTop w:val="0"/>
          <w:marBottom w:val="0"/>
          <w:divBdr>
            <w:top w:val="none" w:sz="0" w:space="0" w:color="auto"/>
            <w:left w:val="none" w:sz="0" w:space="0" w:color="auto"/>
            <w:bottom w:val="none" w:sz="0" w:space="0" w:color="auto"/>
            <w:right w:val="none" w:sz="0" w:space="0" w:color="auto"/>
          </w:divBdr>
        </w:div>
        <w:div w:id="807749518">
          <w:marLeft w:val="0"/>
          <w:marRight w:val="0"/>
          <w:marTop w:val="0"/>
          <w:marBottom w:val="0"/>
          <w:divBdr>
            <w:top w:val="none" w:sz="0" w:space="0" w:color="auto"/>
            <w:left w:val="none" w:sz="0" w:space="0" w:color="auto"/>
            <w:bottom w:val="none" w:sz="0" w:space="0" w:color="auto"/>
            <w:right w:val="none" w:sz="0" w:space="0" w:color="auto"/>
          </w:divBdr>
        </w:div>
        <w:div w:id="782842060">
          <w:marLeft w:val="0"/>
          <w:marRight w:val="0"/>
          <w:marTop w:val="0"/>
          <w:marBottom w:val="0"/>
          <w:divBdr>
            <w:top w:val="none" w:sz="0" w:space="0" w:color="auto"/>
            <w:left w:val="none" w:sz="0" w:space="0" w:color="auto"/>
            <w:bottom w:val="none" w:sz="0" w:space="0" w:color="auto"/>
            <w:right w:val="none" w:sz="0" w:space="0" w:color="auto"/>
          </w:divBdr>
        </w:div>
        <w:div w:id="1983996103">
          <w:marLeft w:val="0"/>
          <w:marRight w:val="0"/>
          <w:marTop w:val="0"/>
          <w:marBottom w:val="0"/>
          <w:divBdr>
            <w:top w:val="none" w:sz="0" w:space="0" w:color="auto"/>
            <w:left w:val="none" w:sz="0" w:space="0" w:color="auto"/>
            <w:bottom w:val="none" w:sz="0" w:space="0" w:color="auto"/>
            <w:right w:val="none" w:sz="0" w:space="0" w:color="auto"/>
          </w:divBdr>
        </w:div>
        <w:div w:id="1292008085">
          <w:marLeft w:val="0"/>
          <w:marRight w:val="0"/>
          <w:marTop w:val="0"/>
          <w:marBottom w:val="0"/>
          <w:divBdr>
            <w:top w:val="none" w:sz="0" w:space="0" w:color="auto"/>
            <w:left w:val="none" w:sz="0" w:space="0" w:color="auto"/>
            <w:bottom w:val="none" w:sz="0" w:space="0" w:color="auto"/>
            <w:right w:val="none" w:sz="0" w:space="0" w:color="auto"/>
          </w:divBdr>
        </w:div>
        <w:div w:id="1342854803">
          <w:marLeft w:val="0"/>
          <w:marRight w:val="0"/>
          <w:marTop w:val="0"/>
          <w:marBottom w:val="0"/>
          <w:divBdr>
            <w:top w:val="none" w:sz="0" w:space="0" w:color="auto"/>
            <w:left w:val="none" w:sz="0" w:space="0" w:color="auto"/>
            <w:bottom w:val="none" w:sz="0" w:space="0" w:color="auto"/>
            <w:right w:val="none" w:sz="0" w:space="0" w:color="auto"/>
          </w:divBdr>
        </w:div>
      </w:divsChild>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bi.ac.uk/Tools/msa/clustal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nomad.broadinstitute.org/" TargetMode="External"/><Relationship Id="rId17" Type="http://schemas.openxmlformats.org/officeDocument/2006/relationships/hyperlink" Target="https://www.omim.org/" TargetMode="External"/><Relationship Id="rId2" Type="http://schemas.openxmlformats.org/officeDocument/2006/relationships/customXml" Target="../customXml/item2.xml"/><Relationship Id="rId16" Type="http://schemas.openxmlformats.org/officeDocument/2006/relationships/hyperlink" Target="https://www.unipro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2.mutalyzer.nl/" TargetMode="External"/><Relationship Id="rId5" Type="http://schemas.openxmlformats.org/officeDocument/2006/relationships/numbering" Target="numbering.xml"/><Relationship Id="rId15" Type="http://schemas.openxmlformats.org/officeDocument/2006/relationships/hyperlink" Target="http://genetics.bwh.harvard.edu/pph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o.tools/sift"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SharedWithUsers xmlns="0a70e875-3d35-4be2-921f-7117c31bab9b">
      <UserInfo>
        <DisplayName/>
        <AccountId xsi:nil="true"/>
        <AccountType/>
      </UserInfo>
    </SharedWithUsers>
    <MediaLengthInSeconds xmlns="27c1adeb-3674-457c-b08c-8a73f31b6e23"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103E1BD2-B72C-4701-83FC-F3C246F25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1069</Words>
  <Characters>5863</Characters>
  <Application>Microsoft Office Word</Application>
  <DocSecurity>0</DocSecurity>
  <Lines>225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Sergio Benitez Fernandez [bs20sbf]</cp:lastModifiedBy>
  <cp:revision>2</cp:revision>
  <cp:lastPrinted>2017-11-10T07:47:00Z</cp:lastPrinted>
  <dcterms:created xsi:type="dcterms:W3CDTF">2025-01-23T02:12:00Z</dcterms:created>
  <dcterms:modified xsi:type="dcterms:W3CDTF">2025-01-23T02:12:00Z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GrammarlyDocumentId">
    <vt:lpwstr>ab462b74ed3448dd48b4ebaf1778c46848841b364f8d0dd523815122a34eda51</vt:lpwstr>
  </property>
</Properties>
</file>