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DA7209">
        <w:rPr>
          <w:rFonts w:ascii="Times New Roman" w:hAnsi="Times New Roman" w:cs="Times New Roman"/>
          <w:b/>
          <w:sz w:val="48"/>
          <w:szCs w:val="48"/>
          <w:lang w:val="en-GB"/>
        </w:rPr>
        <w:t>METU – EEE</w:t>
      </w:r>
    </w:p>
    <w:p w:rsidR="00D87799" w:rsidRPr="00DA7209" w:rsidRDefault="00D87799" w:rsidP="005217C0">
      <w:pPr>
        <w:jc w:val="center"/>
        <w:rPr>
          <w:rStyle w:val="HafifVurgulama"/>
          <w:lang w:val="en-GB"/>
        </w:rPr>
      </w:pPr>
      <w:r w:rsidRPr="00DA7209">
        <w:rPr>
          <w:rStyle w:val="HafifVurgulama"/>
          <w:lang w:val="en-GB"/>
        </w:rPr>
        <w:t>Middle East Technical University – Electrical Electronics Engineering Department</w:t>
      </w: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5217C0" w:rsidRPr="00DA7209" w:rsidRDefault="005217C0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D87799" w:rsidRPr="00DA7209" w:rsidRDefault="00D87799" w:rsidP="0044135A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DA7209">
        <w:rPr>
          <w:rFonts w:ascii="Times New Roman" w:hAnsi="Times New Roman" w:cs="Times New Roman"/>
          <w:b/>
          <w:sz w:val="48"/>
          <w:szCs w:val="48"/>
          <w:lang w:val="en-GB"/>
        </w:rPr>
        <w:t>PROJECT REPORT</w:t>
      </w:r>
    </w:p>
    <w:p w:rsidR="00D87799" w:rsidRPr="00DA7209" w:rsidRDefault="005217C0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DA7209">
        <w:rPr>
          <w:rFonts w:ascii="Times New Roman" w:hAnsi="Times New Roman" w:cs="Times New Roman"/>
          <w:i/>
          <w:sz w:val="32"/>
          <w:szCs w:val="32"/>
          <w:lang w:val="en-GB"/>
        </w:rPr>
        <w:t>by</w:t>
      </w:r>
      <w:proofErr w:type="gramEnd"/>
      <w:r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DA7209">
        <w:rPr>
          <w:rFonts w:ascii="Times New Roman" w:hAnsi="Times New Roman" w:cs="Times New Roman"/>
          <w:sz w:val="32"/>
          <w:szCs w:val="32"/>
          <w:lang w:val="en-GB"/>
        </w:rPr>
        <w:t>Serhat</w:t>
      </w:r>
      <w:proofErr w:type="spellEnd"/>
      <w:r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ÖZKÜÇÜK</w:t>
      </w:r>
    </w:p>
    <w:p w:rsidR="005217C0" w:rsidRPr="00DA7209" w:rsidRDefault="005217C0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D87799" w:rsidRPr="00DA7209" w:rsidRDefault="00D87799" w:rsidP="0044135A">
      <w:pPr>
        <w:jc w:val="center"/>
        <w:rPr>
          <w:rStyle w:val="HafifVurgulama"/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>within</w:t>
      </w:r>
      <w:proofErr w:type="gramEnd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 xml:space="preserve"> the scope of the course </w:t>
      </w: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DA7209">
        <w:rPr>
          <w:rFonts w:ascii="Times New Roman" w:hAnsi="Times New Roman" w:cs="Times New Roman"/>
          <w:b/>
          <w:sz w:val="40"/>
          <w:szCs w:val="40"/>
          <w:lang w:val="en-GB"/>
        </w:rPr>
        <w:t>EE568</w:t>
      </w:r>
    </w:p>
    <w:p w:rsidR="00064001" w:rsidRPr="00DA7209" w:rsidRDefault="0044135A" w:rsidP="005217C0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DA7209">
        <w:rPr>
          <w:rFonts w:ascii="Times New Roman" w:hAnsi="Times New Roman" w:cs="Times New Roman"/>
          <w:b/>
          <w:sz w:val="36"/>
          <w:szCs w:val="36"/>
          <w:lang w:val="en-GB"/>
        </w:rPr>
        <w:t>SELECTED TOPICS ON ELECTRICAL MACHINES</w:t>
      </w:r>
    </w:p>
    <w:p w:rsidR="0044135A" w:rsidRPr="00DA7209" w:rsidRDefault="005217C0" w:rsidP="0044135A">
      <w:pPr>
        <w:jc w:val="center"/>
        <w:rPr>
          <w:rFonts w:ascii="Times New Roman" w:hAnsi="Times New Roman" w:cs="Times New Roman"/>
          <w:i/>
          <w:sz w:val="32"/>
          <w:szCs w:val="32"/>
          <w:lang w:val="en-GB"/>
        </w:rPr>
      </w:pPr>
      <w:proofErr w:type="gramStart"/>
      <w:r w:rsidRPr="00DA7209">
        <w:rPr>
          <w:rFonts w:ascii="Times New Roman" w:hAnsi="Times New Roman" w:cs="Times New Roman"/>
          <w:i/>
          <w:sz w:val="32"/>
          <w:szCs w:val="32"/>
          <w:lang w:val="en-GB"/>
        </w:rPr>
        <w:t>b</w:t>
      </w:r>
      <w:r w:rsidR="0044135A" w:rsidRPr="00DA7209">
        <w:rPr>
          <w:rFonts w:ascii="Times New Roman" w:hAnsi="Times New Roman" w:cs="Times New Roman"/>
          <w:i/>
          <w:sz w:val="32"/>
          <w:szCs w:val="32"/>
          <w:lang w:val="en-GB"/>
        </w:rPr>
        <w:t>y</w:t>
      </w:r>
      <w:proofErr w:type="gramEnd"/>
      <w:r w:rsidR="0044135A" w:rsidRPr="00DA7209">
        <w:rPr>
          <w:rFonts w:ascii="Times New Roman" w:hAnsi="Times New Roman" w:cs="Times New Roman"/>
          <w:i/>
          <w:sz w:val="32"/>
          <w:szCs w:val="32"/>
          <w:lang w:val="en-GB"/>
        </w:rPr>
        <w:t xml:space="preserve"> </w:t>
      </w:r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Dr. </w:t>
      </w:r>
      <w:proofErr w:type="spellStart"/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>Ozan</w:t>
      </w:r>
      <w:proofErr w:type="spellEnd"/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KEYSAN</w:t>
      </w:r>
    </w:p>
    <w:p w:rsidR="0044135A" w:rsidRPr="00DA7209" w:rsidRDefault="0044135A" w:rsidP="0044135A">
      <w:pPr>
        <w:jc w:val="center"/>
        <w:rPr>
          <w:rStyle w:val="HafifVurgulama"/>
          <w:rFonts w:ascii="Times New Roman" w:hAnsi="Times New Roman" w:cs="Times New Roman"/>
          <w:sz w:val="32"/>
          <w:szCs w:val="32"/>
          <w:lang w:val="en-GB"/>
        </w:rPr>
      </w:pPr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 xml:space="preserve">2019 – 2020 Spring </w:t>
      </w:r>
      <w:proofErr w:type="gramStart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>Semester</w:t>
      </w:r>
      <w:proofErr w:type="gramEnd"/>
    </w:p>
    <w:p w:rsidR="0044135A" w:rsidRPr="00DA7209" w:rsidRDefault="0044135A" w:rsidP="00D87799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87799" w:rsidRPr="00DA7209" w:rsidRDefault="00D87799" w:rsidP="00D87799">
      <w:pPr>
        <w:rPr>
          <w:rFonts w:ascii="Times New Roman" w:hAnsi="Times New Roman" w:cs="Times New Roman"/>
          <w:i/>
          <w:sz w:val="32"/>
          <w:szCs w:val="32"/>
          <w:lang w:val="en-GB"/>
        </w:rPr>
      </w:pP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PROJECT REPORT NO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="00DA7209" w:rsidRPr="00DA7209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PROJECT NAME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  <w:t>:</w:t>
      </w:r>
      <w:r w:rsidRPr="00DA7209">
        <w:rPr>
          <w:sz w:val="28"/>
          <w:szCs w:val="28"/>
          <w:lang w:val="en-GB"/>
        </w:rPr>
        <w:t xml:space="preserve"> 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>Torque in a Variable Reluctance Machine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ASSIGN / DUE DATE</w:t>
      </w:r>
      <w:r w:rsidR="00D87799"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="00D87799"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 xml:space="preserve">: 24.02.2020 / </w:t>
      </w:r>
      <w:proofErr w:type="gramStart"/>
      <w:r w:rsidRPr="00DA7209">
        <w:rPr>
          <w:rFonts w:ascii="Times New Roman" w:hAnsi="Times New Roman" w:cs="Times New Roman"/>
          <w:sz w:val="28"/>
          <w:szCs w:val="28"/>
          <w:lang w:val="en-GB"/>
        </w:rPr>
        <w:t>08.03.2020 ,</w:t>
      </w:r>
      <w:proofErr w:type="gramEnd"/>
      <w:r w:rsidRPr="00DA7209">
        <w:rPr>
          <w:rFonts w:ascii="Times New Roman" w:hAnsi="Times New Roman" w:cs="Times New Roman"/>
          <w:sz w:val="28"/>
          <w:szCs w:val="28"/>
          <w:lang w:val="en-GB"/>
        </w:rPr>
        <w:t xml:space="preserve"> 23:59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4135A" w:rsidRPr="00DA7209" w:rsidRDefault="0044135A" w:rsidP="0044135A">
      <w:pPr>
        <w:jc w:val="center"/>
        <w:rPr>
          <w:sz w:val="32"/>
          <w:szCs w:val="32"/>
          <w:lang w:val="en-GB"/>
        </w:rPr>
      </w:pPr>
    </w:p>
    <w:p w:rsidR="005217C0" w:rsidRPr="00DA7209" w:rsidRDefault="005217C0" w:rsidP="0044135A">
      <w:pPr>
        <w:jc w:val="center"/>
        <w:rPr>
          <w:sz w:val="32"/>
          <w:szCs w:val="32"/>
          <w:lang w:val="en-GB"/>
        </w:rPr>
      </w:pPr>
    </w:p>
    <w:p w:rsidR="005217C0" w:rsidRPr="00DA7209" w:rsidRDefault="005217C0" w:rsidP="005217C0">
      <w:pPr>
        <w:pStyle w:val="KonuBal"/>
        <w:rPr>
          <w:lang w:val="en-GB"/>
        </w:rPr>
      </w:pPr>
      <w:r w:rsidRPr="00DA7209">
        <w:rPr>
          <w:lang w:val="en-GB"/>
        </w:rPr>
        <w:lastRenderedPageBreak/>
        <w:t>Introduction</w:t>
      </w:r>
    </w:p>
    <w:p w:rsidR="005217C0" w:rsidRDefault="00DA7209" w:rsidP="00847E97">
      <w:pPr>
        <w:jc w:val="both"/>
        <w:rPr>
          <w:sz w:val="24"/>
          <w:szCs w:val="24"/>
          <w:lang w:val="en-GB"/>
        </w:rPr>
      </w:pPr>
      <w:r w:rsidRPr="00DA7209">
        <w:rPr>
          <w:sz w:val="24"/>
          <w:szCs w:val="24"/>
          <w:lang w:val="en-GB"/>
        </w:rPr>
        <w:t xml:space="preserve">In this report, a basic model of </w:t>
      </w:r>
      <w:r>
        <w:rPr>
          <w:sz w:val="24"/>
          <w:szCs w:val="24"/>
          <w:lang w:val="en-GB"/>
        </w:rPr>
        <w:t>variable</w:t>
      </w:r>
      <w:r w:rsidRPr="00DA720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reluctance</w:t>
      </w:r>
      <w:r w:rsidR="00C27874">
        <w:rPr>
          <w:sz w:val="24"/>
          <w:szCs w:val="24"/>
          <w:lang w:val="en-GB"/>
        </w:rPr>
        <w:t xml:space="preserve"> machine in fig.1 is examined</w:t>
      </w:r>
      <w:r w:rsidR="00237847">
        <w:rPr>
          <w:sz w:val="24"/>
          <w:szCs w:val="24"/>
          <w:lang w:val="en-GB"/>
        </w:rPr>
        <w:t>. Analytical expression</w:t>
      </w:r>
      <w:r w:rsidR="00C27874">
        <w:rPr>
          <w:sz w:val="24"/>
          <w:szCs w:val="24"/>
          <w:lang w:val="en-GB"/>
        </w:rPr>
        <w:t xml:space="preserve"> of </w:t>
      </w:r>
      <w:r w:rsidR="004739DE">
        <w:rPr>
          <w:sz w:val="24"/>
          <w:szCs w:val="24"/>
          <w:lang w:val="en-GB"/>
        </w:rPr>
        <w:t xml:space="preserve">torque, </w:t>
      </w:r>
      <w:r w:rsidR="00C27874">
        <w:rPr>
          <w:sz w:val="24"/>
          <w:szCs w:val="24"/>
          <w:lang w:val="en-GB"/>
        </w:rPr>
        <w:t>reluctance and inductance of the system</w:t>
      </w:r>
      <w:r w:rsidR="004739DE">
        <w:rPr>
          <w:sz w:val="24"/>
          <w:szCs w:val="24"/>
          <w:lang w:val="en-GB"/>
        </w:rPr>
        <w:t xml:space="preserve"> is derived</w:t>
      </w:r>
      <w:r w:rsidR="00237847">
        <w:rPr>
          <w:sz w:val="24"/>
          <w:szCs w:val="24"/>
          <w:lang w:val="en-GB"/>
        </w:rPr>
        <w:t xml:space="preserve"> as a function of </w:t>
      </w:r>
      <w:r w:rsidR="00237847" w:rsidRPr="00237847">
        <w:rPr>
          <w:sz w:val="24"/>
          <w:szCs w:val="24"/>
          <w:lang w:val="en-GB"/>
        </w:rPr>
        <w:t>rotation of the variable reluctance rotor</w:t>
      </w:r>
      <w:r w:rsidR="00237847">
        <w:rPr>
          <w:sz w:val="24"/>
          <w:szCs w:val="24"/>
          <w:lang w:val="en-GB"/>
        </w:rPr>
        <w:t xml:space="preserve">. </w:t>
      </w:r>
      <w:r w:rsidR="004739DE">
        <w:rPr>
          <w:sz w:val="24"/>
          <w:szCs w:val="24"/>
          <w:lang w:val="en-GB"/>
        </w:rPr>
        <w:t xml:space="preserve">2D FEA model is created in ANSYS/Maxwell 2D and system is analyzed. </w:t>
      </w:r>
      <w:r w:rsidR="00847E97">
        <w:rPr>
          <w:sz w:val="24"/>
          <w:szCs w:val="24"/>
          <w:lang w:val="en-GB"/>
        </w:rPr>
        <w:t xml:space="preserve">Linear (constant µ) and non-linear (considering saturation) steel lamination effect is simulated. Also a XX control method is purposed to the model for acceleration with a certain torque.  </w:t>
      </w:r>
    </w:p>
    <w:p w:rsidR="00C27874" w:rsidRDefault="00C27874" w:rsidP="005217C0">
      <w:pPr>
        <w:rPr>
          <w:sz w:val="24"/>
          <w:szCs w:val="24"/>
          <w:lang w:val="en-GB"/>
        </w:rPr>
      </w:pPr>
    </w:p>
    <w:p w:rsidR="00C27874" w:rsidRDefault="00C27874" w:rsidP="005217C0">
      <w:pPr>
        <w:rPr>
          <w:sz w:val="24"/>
          <w:szCs w:val="24"/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5760720" cy="5138245"/>
            <wp:effectExtent l="19050" t="0" r="0" b="0"/>
            <wp:docPr id="1" name="Resim 1" descr="https://raw.githubusercontent.com/odtu/ee568/master/Project1/dimensi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odtu/ee568/master/Project1/dimension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74" w:rsidRDefault="00C27874" w:rsidP="00777EC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Fig. 1: Physical properties of the variable reluctance machine project model</w:t>
      </w:r>
      <w:r w:rsidR="00777EC2">
        <w:rPr>
          <w:sz w:val="24"/>
          <w:szCs w:val="24"/>
          <w:lang w:val="en-GB"/>
        </w:rPr>
        <w:t xml:space="preserve"> (</w:t>
      </w:r>
      <w:r w:rsidR="00777EC2" w:rsidRPr="00777EC2">
        <w:rPr>
          <w:i/>
          <w:sz w:val="24"/>
          <w:szCs w:val="24"/>
          <w:lang w:val="en-GB"/>
        </w:rPr>
        <w:t xml:space="preserve">Coils are wound </w:t>
      </w:r>
      <w:r w:rsidRPr="00777EC2">
        <w:rPr>
          <w:i/>
          <w:sz w:val="24"/>
          <w:szCs w:val="24"/>
          <w:lang w:val="en-GB"/>
        </w:rPr>
        <w:t>within 30mmx10mm rectangle areas</w:t>
      </w:r>
      <w:r w:rsidR="00777EC2" w:rsidRPr="00777EC2">
        <w:rPr>
          <w:i/>
          <w:sz w:val="24"/>
          <w:szCs w:val="24"/>
          <w:lang w:val="en-GB"/>
        </w:rPr>
        <w:t>, e</w:t>
      </w:r>
      <w:r w:rsidRPr="00777EC2">
        <w:rPr>
          <w:i/>
          <w:sz w:val="24"/>
          <w:szCs w:val="24"/>
          <w:lang w:val="en-GB"/>
        </w:rPr>
        <w:t xml:space="preserve">ach </w:t>
      </w:r>
      <w:proofErr w:type="spellStart"/>
      <w:r w:rsidRPr="00777EC2">
        <w:rPr>
          <w:i/>
          <w:sz w:val="24"/>
          <w:szCs w:val="24"/>
          <w:lang w:val="en-GB"/>
        </w:rPr>
        <w:t>airgap</w:t>
      </w:r>
      <w:proofErr w:type="spellEnd"/>
      <w:r w:rsidRPr="00777EC2">
        <w:rPr>
          <w:i/>
          <w:sz w:val="24"/>
          <w:szCs w:val="24"/>
          <w:lang w:val="en-GB"/>
        </w:rPr>
        <w:t xml:space="preserve"> clearance is 0.5mm</w:t>
      </w:r>
      <w:r w:rsidR="00777EC2" w:rsidRPr="00777EC2">
        <w:rPr>
          <w:i/>
          <w:sz w:val="24"/>
          <w:szCs w:val="24"/>
          <w:lang w:val="en-GB"/>
        </w:rPr>
        <w:t>, d</w:t>
      </w:r>
      <w:r w:rsidRPr="00777EC2">
        <w:rPr>
          <w:i/>
          <w:sz w:val="24"/>
          <w:szCs w:val="24"/>
          <w:lang w:val="en-GB"/>
        </w:rPr>
        <w:t>epth of the core is 20mm</w:t>
      </w:r>
      <w:r w:rsidR="00777EC2" w:rsidRPr="00777EC2">
        <w:rPr>
          <w:i/>
          <w:sz w:val="24"/>
          <w:szCs w:val="24"/>
          <w:lang w:val="en-GB"/>
        </w:rPr>
        <w:t>, n</w:t>
      </w:r>
      <w:r w:rsidRPr="00777EC2">
        <w:rPr>
          <w:i/>
          <w:sz w:val="24"/>
          <w:szCs w:val="24"/>
          <w:lang w:val="en-GB"/>
        </w:rPr>
        <w:t>umber of turns = 250</w:t>
      </w:r>
      <w:r w:rsidR="00777EC2" w:rsidRPr="00777EC2">
        <w:rPr>
          <w:i/>
          <w:sz w:val="24"/>
          <w:szCs w:val="24"/>
          <w:lang w:val="en-GB"/>
        </w:rPr>
        <w:t>, c</w:t>
      </w:r>
      <w:r w:rsidRPr="00777EC2">
        <w:rPr>
          <w:i/>
          <w:sz w:val="24"/>
          <w:szCs w:val="24"/>
          <w:lang w:val="en-GB"/>
        </w:rPr>
        <w:t>oil Current = 3 A DC</w:t>
      </w:r>
      <w:r w:rsidR="00777EC2">
        <w:rPr>
          <w:sz w:val="24"/>
          <w:szCs w:val="24"/>
          <w:lang w:val="en-GB"/>
        </w:rPr>
        <w:t>)</w:t>
      </w:r>
    </w:p>
    <w:p w:rsidR="004739DE" w:rsidRDefault="004739DE" w:rsidP="004739DE">
      <w:pPr>
        <w:pStyle w:val="KonuBal"/>
        <w:rPr>
          <w:lang w:val="en-GB"/>
        </w:rPr>
      </w:pPr>
      <w:r>
        <w:rPr>
          <w:lang w:val="en-GB"/>
        </w:rPr>
        <w:lastRenderedPageBreak/>
        <w:t>Analytical Modelling</w:t>
      </w:r>
    </w:p>
    <w:p w:rsidR="0069740D" w:rsidRDefault="00771C8D" w:rsidP="004739DE">
      <w:pPr>
        <w:rPr>
          <w:lang w:val="en-GB"/>
        </w:rPr>
      </w:pPr>
      <w:r w:rsidRPr="00771C8D">
        <w:rPr>
          <w:lang w:val="en-GB"/>
        </w:rPr>
        <w:t>There are two air-gaps in series in fig. 1 and these air gap lengths change with an angle</w:t>
      </w:r>
      <w:r w:rsidR="0069740D">
        <w:rPr>
          <w:lang w:val="en-GB"/>
        </w:rPr>
        <w:t xml:space="preserve"> (θ)</w:t>
      </w:r>
      <w:r w:rsidRPr="00771C8D">
        <w:rPr>
          <w:lang w:val="en-GB"/>
        </w:rPr>
        <w:t>, which</w:t>
      </w:r>
      <w:r w:rsidR="0069740D">
        <w:rPr>
          <w:lang w:val="en-GB"/>
        </w:rPr>
        <w:t xml:space="preserve"> is between rotary part’s </w:t>
      </w:r>
      <w:r w:rsidRPr="00771C8D">
        <w:rPr>
          <w:lang w:val="en-GB"/>
        </w:rPr>
        <w:t>direct axis and stable part</w:t>
      </w:r>
      <w:r w:rsidR="0069740D">
        <w:rPr>
          <w:lang w:val="en-GB"/>
        </w:rPr>
        <w:t>’s</w:t>
      </w:r>
      <w:r w:rsidRPr="00771C8D">
        <w:rPr>
          <w:lang w:val="en-GB"/>
        </w:rPr>
        <w:t xml:space="preserve"> flux axis. </w:t>
      </w:r>
    </w:p>
    <w:p w:rsidR="0069740D" w:rsidRDefault="0069740D" w:rsidP="004739DE">
      <w:pPr>
        <w:rPr>
          <w:lang w:val="en-GB"/>
        </w:rPr>
      </w:pPr>
      <w:r>
        <w:rPr>
          <w:lang w:val="en-GB"/>
        </w:rPr>
        <w:t>The maximum reluctance is observed when the angle is π/2 or 3π/2 radians (air gap is maximum). The minimum reluctance is observed when the angle is 0 or π radians (air gap is minimum).</w:t>
      </w:r>
    </w:p>
    <w:p w:rsidR="00A25001" w:rsidRDefault="0069740D" w:rsidP="004739DE">
      <w:pPr>
        <w:rPr>
          <w:lang w:val="en-GB"/>
        </w:rPr>
      </w:pPr>
      <w:r>
        <w:rPr>
          <w:lang w:val="en-GB"/>
        </w:rPr>
        <w:t>So, total reluctance (and inductance) changes with respect to the angle θ</w:t>
      </w:r>
      <w:r w:rsidR="00CC4044">
        <w:rPr>
          <w:lang w:val="en-GB"/>
        </w:rPr>
        <w:t>. T</w:t>
      </w:r>
      <w:r w:rsidR="00A25001">
        <w:rPr>
          <w:lang w:val="en-GB"/>
        </w:rPr>
        <w:t xml:space="preserve">he maximum reluctance (minimum inductance) is </w:t>
      </w:r>
      <w:r w:rsidR="00A25001">
        <w:rPr>
          <w:rFonts w:eastAsiaTheme="minorEastAsia"/>
          <w:lang w:val="en-GB"/>
        </w:rPr>
        <w:t xml:space="preserve">calculated as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</m:sSub>
        <m:r>
          <w:rPr>
            <w:rFonts w:ascii="Cambria Math" w:hAnsi="Cambria Math"/>
            <w:lang w:val="en-GB"/>
          </w:rPr>
          <m:t>- q axis reluctance</m:t>
        </m:r>
      </m:oMath>
      <w:r w:rsidR="00A25001">
        <w:rPr>
          <w:rFonts w:eastAsiaTheme="minorEastAsia"/>
          <w:lang w:val="en-GB"/>
        </w:rPr>
        <w:t xml:space="preserve"> </w:t>
      </w:r>
      <w:r w:rsidR="00682D14">
        <w:rPr>
          <w:rFonts w:eastAsiaTheme="minorEastAsia"/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</m:sSub>
        <m:r>
          <w:rPr>
            <w:rFonts w:ascii="Cambria Math" w:hAnsi="Cambria Math"/>
            <w:lang w:val="en-GB"/>
          </w:rPr>
          <m:t>- q axis inductance</m:t>
        </m:r>
      </m:oMath>
      <w:r w:rsidR="00682D14">
        <w:rPr>
          <w:rFonts w:eastAsiaTheme="minorEastAsia"/>
          <w:lang w:val="en-GB"/>
        </w:rPr>
        <w:t xml:space="preserve">) </w:t>
      </w:r>
      <w:r w:rsidR="00A25001">
        <w:rPr>
          <w:rFonts w:eastAsiaTheme="minorEastAsia"/>
          <w:lang w:val="en-GB"/>
        </w:rPr>
        <w:t>when the angle θ</w:t>
      </w:r>
      <w:r w:rsidR="00682D14">
        <w:rPr>
          <w:rFonts w:eastAsiaTheme="minorEastAsia"/>
          <w:lang w:val="en-GB"/>
        </w:rPr>
        <w:t xml:space="preserve"> is </w:t>
      </w:r>
      <w:r w:rsidR="00A25001">
        <w:rPr>
          <w:rFonts w:eastAsiaTheme="minorEastAsia"/>
          <w:lang w:val="en-GB"/>
        </w:rPr>
        <w:t>equal to</w:t>
      </w:r>
      <w:r w:rsidR="00A25001" w:rsidRPr="00A25001">
        <w:rPr>
          <w:lang w:val="en-GB"/>
        </w:rPr>
        <w:t xml:space="preserve"> </w:t>
      </w:r>
      <w:r w:rsidR="00A25001">
        <w:rPr>
          <w:lang w:val="en-GB"/>
        </w:rPr>
        <w:t>π/2 or 3π/2 shown in fig. 2. Steel permeability is assumed as infinite and fringing is neglected.</w:t>
      </w:r>
    </w:p>
    <w:p w:rsidR="00A25001" w:rsidRDefault="00514E8F" w:rsidP="00A25001">
      <w:pPr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q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:rsidR="0069740D" w:rsidRDefault="00514E8F" w:rsidP="00A25001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q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sub>
              </m:sSub>
            </m:den>
          </m:f>
        </m:oMath>
      </m:oMathPara>
    </w:p>
    <w:p w:rsidR="00682D14" w:rsidRPr="0069740D" w:rsidRDefault="00682D14" w:rsidP="00682D14">
      <w:pPr>
        <w:rPr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1,2</m:t>
            </m:r>
          </m:sub>
        </m:sSub>
      </m:oMath>
      <w:r w:rsidR="00CC4044">
        <w:rPr>
          <w:rFonts w:eastAsiaTheme="minorEastAsia"/>
          <w:lang w:val="en-GB"/>
        </w:rPr>
        <w:t xml:space="preserve"> are</w:t>
      </w:r>
      <w:r>
        <w:rPr>
          <w:rFonts w:eastAsiaTheme="minorEastAsia"/>
          <w:lang w:val="en-GB"/>
        </w:rPr>
        <w:t xml:space="preserve"> air gap length</w:t>
      </w:r>
      <w:r w:rsidR="00CC4044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µ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is permeability of air,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1,2</m:t>
                </m:r>
              </m:sub>
            </m:sSub>
          </m:sub>
        </m:sSub>
      </m:oMath>
      <w:r w:rsidR="00CC4044">
        <w:rPr>
          <w:rFonts w:eastAsiaTheme="minorEastAsia"/>
          <w:lang w:val="en-GB"/>
        </w:rPr>
        <w:t>are</w:t>
      </w:r>
      <w:r>
        <w:rPr>
          <w:rFonts w:eastAsiaTheme="minorEastAsia"/>
          <w:lang w:val="en-GB"/>
        </w:rPr>
        <w:t xml:space="preserve"> effective core area</w:t>
      </w:r>
      <w:r w:rsidR="00CC4044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that flux linking,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is turn ratio. </w:t>
      </w:r>
    </w:p>
    <w:p w:rsidR="00771C8D" w:rsidRDefault="00A25001" w:rsidP="00A25001">
      <w:pPr>
        <w:jc w:val="center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3723611" cy="3985032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03" cy="398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01" w:rsidRDefault="00A25001" w:rsidP="00A25001">
      <w:pPr>
        <w:jc w:val="center"/>
        <w:rPr>
          <w:lang w:val="en-GB"/>
        </w:rPr>
      </w:pPr>
      <w:r>
        <w:rPr>
          <w:lang w:val="en-GB"/>
        </w:rPr>
        <w:t>Fig. 2: Maximum reluctance case (The angle between d-axis and Flux axis is π/2</w:t>
      </w:r>
      <w:r w:rsidR="00682D14">
        <w:rPr>
          <w:lang w:val="en-GB"/>
        </w:rPr>
        <w:t>, all lengths are in mm and angles are in degree</w:t>
      </w:r>
      <w:r>
        <w:rPr>
          <w:lang w:val="en-GB"/>
        </w:rPr>
        <w:t>)</w:t>
      </w:r>
    </w:p>
    <w:p w:rsidR="00682D14" w:rsidRDefault="00682D14" w:rsidP="00A25001">
      <w:pPr>
        <w:jc w:val="center"/>
        <w:rPr>
          <w:lang w:val="en-GB"/>
        </w:rPr>
      </w:pPr>
    </w:p>
    <w:p w:rsidR="00682D14" w:rsidRDefault="00682D14" w:rsidP="00682D14">
      <w:pPr>
        <w:rPr>
          <w:lang w:val="en-GB"/>
        </w:rPr>
      </w:pPr>
      <w:proofErr w:type="gramStart"/>
      <w:r>
        <w:rPr>
          <w:lang w:val="en-GB"/>
        </w:rPr>
        <w:t>Calculation of the max-min reluctances (or inductances) are</w:t>
      </w:r>
      <w:proofErr w:type="gramEnd"/>
      <w:r>
        <w:rPr>
          <w:lang w:val="en-GB"/>
        </w:rPr>
        <w:t xml:space="preserve"> done with respect to their effective core area that the flux is linking. So, the analyzed geometry is given in fig.3. </w:t>
      </w:r>
    </w:p>
    <w:p w:rsidR="00682D14" w:rsidRDefault="00682D14" w:rsidP="00682D14">
      <w:pPr>
        <w:jc w:val="center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4046696" cy="5348176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65" cy="535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14" w:rsidRDefault="00682D14" w:rsidP="00682D14">
      <w:pPr>
        <w:jc w:val="center"/>
        <w:rPr>
          <w:lang w:val="en-GB"/>
        </w:rPr>
      </w:pPr>
      <w:r>
        <w:rPr>
          <w:lang w:val="en-GB"/>
        </w:rPr>
        <w:t>Fig. 3: M</w:t>
      </w:r>
      <w:r w:rsidR="00CC4044">
        <w:rPr>
          <w:lang w:val="en-GB"/>
        </w:rPr>
        <w:t>inimum</w:t>
      </w:r>
      <w:r>
        <w:rPr>
          <w:lang w:val="en-GB"/>
        </w:rPr>
        <w:t xml:space="preserve"> reluctance case</w:t>
      </w:r>
      <w:r w:rsidR="00CC4044">
        <w:rPr>
          <w:lang w:val="en-GB"/>
        </w:rPr>
        <w:t xml:space="preserve"> and geometry analysis</w:t>
      </w:r>
      <w:r>
        <w:rPr>
          <w:lang w:val="en-GB"/>
        </w:rPr>
        <w:t xml:space="preserve"> (The angle between d-axis and Flux axis is </w:t>
      </w:r>
      <w:r w:rsidR="00CC4044">
        <w:rPr>
          <w:lang w:val="en-GB"/>
        </w:rPr>
        <w:t>0 or π</w:t>
      </w:r>
      <w:r>
        <w:rPr>
          <w:lang w:val="en-GB"/>
        </w:rPr>
        <w:t>, all lengths are in mm and angles are in degree)</w:t>
      </w:r>
    </w:p>
    <w:p w:rsidR="00682D14" w:rsidRDefault="00CC4044" w:rsidP="00CC4044">
      <w:pPr>
        <w:rPr>
          <w:lang w:val="en-GB"/>
        </w:rPr>
      </w:pPr>
      <w:r>
        <w:rPr>
          <w:lang w:val="en-GB"/>
        </w:rPr>
        <w:t xml:space="preserve">The minimum reluctance (maximum inductance) is </w:t>
      </w:r>
      <w:r>
        <w:rPr>
          <w:rFonts w:eastAsiaTheme="minorEastAsia"/>
          <w:lang w:val="en-GB"/>
        </w:rPr>
        <w:t xml:space="preserve">calculated as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- d axis reluctance</m:t>
        </m:r>
      </m:oMath>
      <w:r>
        <w:rPr>
          <w:rFonts w:eastAsiaTheme="minorEastAsia"/>
          <w:lang w:val="en-GB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- d axis inductance</m:t>
        </m:r>
      </m:oMath>
      <w:r>
        <w:rPr>
          <w:rFonts w:eastAsiaTheme="minorEastAsia"/>
          <w:lang w:val="en-GB"/>
        </w:rPr>
        <w:t>) when the angle θ is equal to</w:t>
      </w:r>
      <w:r w:rsidRPr="00A25001">
        <w:rPr>
          <w:lang w:val="en-GB"/>
        </w:rPr>
        <w:t xml:space="preserve"> </w:t>
      </w:r>
      <w:r>
        <w:rPr>
          <w:lang w:val="en-GB"/>
        </w:rPr>
        <w:t>0 or π shown in fig. 3. Steel permeability is assumed as infinite and fringing is neglected.</w:t>
      </w:r>
    </w:p>
    <w:p w:rsidR="00CC4044" w:rsidRDefault="00514E8F" w:rsidP="00CC4044">
      <w:pPr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CC4044" w:rsidRDefault="00514E8F" w:rsidP="00CC4044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</m:oMath>
      </m:oMathPara>
    </w:p>
    <w:p w:rsidR="00CC4044" w:rsidRDefault="00CC4044" w:rsidP="00CC4044">
      <w:pPr>
        <w:jc w:val="center"/>
        <w:rPr>
          <w:rFonts w:eastAsiaTheme="minorEastAsia"/>
          <w:lang w:val="en-GB"/>
        </w:rPr>
      </w:pPr>
    </w:p>
    <w:p w:rsidR="00CC4044" w:rsidRDefault="00CC4044" w:rsidP="00CC404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The total Reluctance and Inductance expression is given below:</w:t>
      </w:r>
    </w:p>
    <w:p w:rsidR="00CC4044" w:rsidRDefault="00CC4044" w:rsidP="00CC404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average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cos⁡</m:t>
          </m:r>
          <m:r>
            <w:rPr>
              <w:rFonts w:ascii="Cambria Math" w:eastAsiaTheme="minorEastAsia" w:hAnsi="Cambria Math"/>
              <w:lang w:val="en-GB"/>
            </w:rPr>
            <m:t>(2θ)</m:t>
          </m:r>
        </m:oMath>
      </m:oMathPara>
    </w:p>
    <w:p w:rsidR="00275383" w:rsidRDefault="00275383" w:rsidP="00CC404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:rsidR="00CC4044" w:rsidRPr="004739DE" w:rsidRDefault="00CC4044" w:rsidP="00CC4044">
      <w:pPr>
        <w:jc w:val="center"/>
        <w:rPr>
          <w:lang w:val="en-GB"/>
        </w:rPr>
      </w:pPr>
    </w:p>
    <w:sectPr w:rsidR="00CC4044" w:rsidRPr="004739DE" w:rsidSect="0006400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F0" w:rsidRDefault="00EB42F0" w:rsidP="00DA7209">
      <w:pPr>
        <w:spacing w:after="0" w:line="240" w:lineRule="auto"/>
      </w:pPr>
      <w:r>
        <w:separator/>
      </w:r>
    </w:p>
  </w:endnote>
  <w:endnote w:type="continuationSeparator" w:id="0">
    <w:p w:rsidR="00EB42F0" w:rsidRDefault="00EB42F0" w:rsidP="00DA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09" w:rsidRDefault="00DA720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F0" w:rsidRDefault="00EB42F0" w:rsidP="00DA7209">
      <w:pPr>
        <w:spacing w:after="0" w:line="240" w:lineRule="auto"/>
      </w:pPr>
      <w:r>
        <w:separator/>
      </w:r>
    </w:p>
  </w:footnote>
  <w:footnote w:type="continuationSeparator" w:id="0">
    <w:p w:rsidR="00EB42F0" w:rsidRDefault="00EB42F0" w:rsidP="00DA7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35A"/>
    <w:rsid w:val="00064001"/>
    <w:rsid w:val="00237847"/>
    <w:rsid w:val="00275383"/>
    <w:rsid w:val="004275D8"/>
    <w:rsid w:val="0044135A"/>
    <w:rsid w:val="004739DE"/>
    <w:rsid w:val="004A70B1"/>
    <w:rsid w:val="004B7B03"/>
    <w:rsid w:val="00514E8F"/>
    <w:rsid w:val="005217C0"/>
    <w:rsid w:val="00682D14"/>
    <w:rsid w:val="0069740D"/>
    <w:rsid w:val="00746BE8"/>
    <w:rsid w:val="00771C8D"/>
    <w:rsid w:val="00777EC2"/>
    <w:rsid w:val="008075C8"/>
    <w:rsid w:val="00847E97"/>
    <w:rsid w:val="00882936"/>
    <w:rsid w:val="00A25001"/>
    <w:rsid w:val="00A60123"/>
    <w:rsid w:val="00C27874"/>
    <w:rsid w:val="00C822B3"/>
    <w:rsid w:val="00CC4044"/>
    <w:rsid w:val="00CE3C93"/>
    <w:rsid w:val="00D87799"/>
    <w:rsid w:val="00DA7209"/>
    <w:rsid w:val="00EB4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73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21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afifVurgulama">
    <w:name w:val="Subtle Emphasis"/>
    <w:basedOn w:val="VarsaylanParagrafYazTipi"/>
    <w:uiPriority w:val="19"/>
    <w:qFormat/>
    <w:rsid w:val="005217C0"/>
    <w:rPr>
      <w:i/>
      <w:iCs/>
      <w:color w:val="808080" w:themeColor="text1" w:themeTint="7F"/>
    </w:rPr>
  </w:style>
  <w:style w:type="paragraph" w:styleId="stbilgi">
    <w:name w:val="header"/>
    <w:basedOn w:val="Normal"/>
    <w:link w:val="stbilgiChar"/>
    <w:uiPriority w:val="99"/>
    <w:semiHidden/>
    <w:unhideWhenUsed/>
    <w:rsid w:val="00DA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A720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DA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720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A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7209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473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YerTutucuMetni">
    <w:name w:val="Placeholder Text"/>
    <w:basedOn w:val="VarsaylanParagrafYazTipi"/>
    <w:uiPriority w:val="99"/>
    <w:semiHidden/>
    <w:rsid w:val="00A250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2020-02-23T14:49:00Z</dcterms:created>
  <dcterms:modified xsi:type="dcterms:W3CDTF">2020-02-29T23:02:00Z</dcterms:modified>
</cp:coreProperties>
</file>