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Тестирование Чашки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Функции чашки: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вмещать напитки,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переносить напитки,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возможность пить из нее,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возможность греть напитки в микроволновке.</w:t>
        <w:br w:type="textWrapping"/>
        <w:br w:type="textWrapping"/>
        <w:t xml:space="preserve">Проверим сначала «</w:t>
      </w: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вмещать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»: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Поставили на поверхность – стоит, не падает - все ок.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Холодной воды налили – вода внутри - все ок.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Кипятку налили - не треснула, не течет – все ок.</w:t>
        <w:br w:type="textWrapping"/>
        <w:br w:type="textWrapping"/>
        <w:t xml:space="preserve">Теперь – «</w:t>
      </w: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переносить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»: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Есть ручка, за нее можно взяться и поднять/перенести даже полную и горячую чашку (пустую и холодную носить не станем, если предусмотрен более тяжелый тест).</w:t>
        <w:br w:type="textWrapping"/>
        <w:br w:type="textWrapping"/>
        <w:t xml:space="preserve">Теперь – «</w:t>
      </w: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пить из нее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»: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Наклонять удается, отхлебывать – тоже. Все ок.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br w:type="textWrapping"/>
        <w:t xml:space="preserve">«</w:t>
      </w: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Возможность греть в микроволновке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»: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Если в инструкции к чашке не указана максимальная допустимая температура при подогреве в печи, наливаем воду, ставим чашку в печь и включаем на максимум.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Если позитивное тестирование удачно, проведем негативное (ошибочные или нестандартные, но возможные действия с предметом):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Подвергнем ее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механическому (об пол, ап стену),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химическому (кротом, адриланом, уксусной кислотой),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физическому воздействию (перегреем в микроволновке, поставим на раскаленную горелку).</w:t>
        <w:br w:type="textWrapping"/>
        <w:br w:type="textWrapping"/>
        <w:br w:type="textWrapping"/>
        <w:t xml:space="preserve">«</w:t>
      </w: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Тестирование удобства пользователя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»: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удобно ли ставить, не горячо ли носить, приятно ли браться за ручку и т.д.</w:t>
        <w:br w:type="textWrapping"/>
        <w:br w:type="textWrapping"/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Тестирование взаимодействия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»: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встает ли чашка на блюдца от других сервизов.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