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44"/>
          <w:szCs w:val="44"/>
        </w:rPr>
        <w:t xml:space="preserve">ICP — Идеальный Рекламодатель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4"/>
          <w:szCs w:val="24"/>
        </w:rPr>
        <w:t xml:space="preserve">Ideal Customer Profile  •  AdsGram  •  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4"/>
          <w:szCs w:val="24"/>
        </w:rPr>
        <w:t xml:space="preserve">Рекламодатели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Этот документ описывает портрет рекламодателя, которому наиболее выгодно размещение рекламы через AdsGram. Используй его как эталон при анализе базы контактов и расстановке приоритетов в outreach.</w:t>
      </w:r>
    </w:p>
    <w:p>
      <w:pPr>
        <w:pStyle w:val="Heading1"/>
        <w:pBdr>
          <w:bottom w:val="single" w:color="2E75B6" w:sz="6" w:space="2"/>
        </w:pBdr>
        <w:spacing w:after="10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8"/>
          <w:szCs w:val="28"/>
        </w:rPr>
        <w:t xml:space="preserve">1. Базовый профиль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9"/>
                <w:szCs w:val="19"/>
              </w:rPr>
              <w:t xml:space="preserve">Тип бизнеса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Компания или проект с активной рекламной потребностью. Работает в высококонкурентной или регулируемой вертикали, где крупные платформы (Google, Meta) ограничивают размещение.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9"/>
                <w:szCs w:val="19"/>
              </w:rPr>
              <w:t xml:space="preserve">Рекламный бюджет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От $500/мес — реальный старт. От $100 — тест/пилот. Рекламодатели без бюджетного плана или с разовыми запросами до $100 — низкий приоритет.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9"/>
                <w:szCs w:val="19"/>
              </w:rPr>
              <w:t xml:space="preserve">Опыт с трафиком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Понимает модели CPC/CPM. Уже работал с платной рекламой: закупка трафика, affiliate, performance-маркетинг. Новичкам нужна дополнительная квалификация.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9"/>
                <w:szCs w:val="19"/>
              </w:rPr>
              <w:t xml:space="preserve">Telegram-присутствие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Есть канал, бот или Mini App (TMA) — либо явный интерес к Telegram-аудитории. Рекламодатели без TG-стратегии требуют доп. прогрева.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9"/>
                <w:szCs w:val="19"/>
              </w:rPr>
              <w:t xml:space="preserve">Лицо для контакта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Head of Marketing, Affiliate Manager, CMO, Growth Lead, BD Manager или основатель. Избегай junior-ролей без бюджетных полномочий.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2"/>
        </w:pBdr>
        <w:spacing w:after="10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8"/>
          <w:szCs w:val="28"/>
        </w:rPr>
        <w:t xml:space="preserve">2. Приоритетные вертикали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Вертикали определяются готовностью платить за TG-трафик и совместимостью с политикой AdsGram: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🎰  iGaming / Гемблинг — казино, ставки на спорт, покер, лотереи. Жёсткие блокировки в Google/Meta делают TG основным каналом. Высокий CPM.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💱  Форекс / Бинарные опционы — брокеры, сигналы, копитрейдинг. Ограничены на крупных платформах. Платят за конкретные ГЕО.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🪙  Крипто / TON / Web3 — биржи, кошельки, DeFi, NFT, GameFi. Прямая синергия: AdsGram — официальный партнёр TON Foundation.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💋  Дейтинг / 18+ — приложения, платный контент (OF-style). Почти полностью заблокированы в mainstream-сетях — TG единственный масштабируемый канал.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📈  Финансы / Трейдинг — инвестиционные платформы, аналитика, стейкинг. Умеренно ограничены, платят за финансово-грамотную аудиторию.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🎮  GameFi / DePIN / Quest-платформы — новые Web3-продукты с необходимостью быстрого набора пользователей.</w:t>
      </w:r>
    </w:p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2"/>
        </w:pBdr>
        <w:spacing w:after="10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8"/>
          <w:szCs w:val="28"/>
        </w:rPr>
        <w:t xml:space="preserve">3. География таргетинга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Рекламодатели платят за конкретные ГЕО — совпадение аудитории канала с ГЕО рекламодателя определяет реальный CPM: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50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ГЕО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Для каких вертикалей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4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🔥 Высокий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Европа: DE, PL, RO, SK, SE, NO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iGaming, Дейтинг, Форекс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4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🔥 Высокий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Латам: BR, MX, AR, CO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Форекс / Бинарки, iGaming, Крипто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4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🔥 Высокий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Азия: IN, SG, ID, PH, VN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Форекс / Бинарки, Крипто, GameFi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🟡 Средний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СНГ: RU, KZ, UA, BY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Крипто / TON, Гемблинг, Финансы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8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⬇️ Ситуативно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США, Западная Европа: UK, FR, IT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Крипто, если продукт глобальный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2"/>
        </w:pBdr>
        <w:spacing w:after="10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8"/>
          <w:szCs w:val="28"/>
        </w:rPr>
        <w:t xml:space="preserve">4. Признаки готовности к покупке ✨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Самый ценный сигнал при анализе базы. Рекламодатель, который уже тратит бюджет на трафик, — самый тёплый лид: он понимает ценность рекламы и мотивирован найти альтернативу.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84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Сигналы ✔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Что говорить такому лиду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Пишет в TG-чатах о закупке трафика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Упоминает Meta/Google ads с проблемами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Ведёт TG-канал с рекламным контентом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Профиль: Affiliate Manager, Media Buyer, CMO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Использует TG-ботов для лидогенерации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Акцент на альтернативу: ты уже платишь за трафик — мы дадим доступ к TG-аудитории там, где Google и Meta отказывают.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2"/>
        </w:pBdr>
        <w:spacing w:after="10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8"/>
          <w:szCs w:val="28"/>
        </w:rPr>
        <w:t xml:space="preserve">5. Стадия развития продукта 📈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Стадия продукта определяет срочность и размер бюджета. Рекламодатель на старте или в фазе роста — максимальный приоритет.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7C4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🟢 Приоритет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🟡 Ситуативно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🔴 Низкий приоритет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7C41"/>
                <w:sz w:val="20"/>
                <w:szCs w:val="20"/>
              </w:rPr>
              <w:t xml:space="preserve">Pre-launch / Pre-TGE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Нужен трафик срочно — идут на тест быстро. Бюджет обычно выделен заранее.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D7D31"/>
                <w:sz w:val="20"/>
                <w:szCs w:val="20"/>
              </w:rPr>
              <w:t xml:space="preserve">Масштабирование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Уже работает, ищет новые каналы. Понимает метрики — легче продать.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Зрелый продукт без роста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Нет срочности, сложно обосновать новый канал без кейсов.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2"/>
        </w:pBdr>
        <w:spacing w:after="10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8"/>
          <w:szCs w:val="28"/>
        </w:rPr>
        <w:t xml:space="preserve">6. Боли, которые закрывает AdsGram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84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Боль рекламодателя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Как AdsGram решает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9"/>
                <w:szCs w:val="19"/>
              </w:rPr>
              <w:t xml:space="preserve">Заблокирован в Google / Meta из-за вертикали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AdsGram работает с high-risk вертикалями. Нет ограничений по категориям, где другие платформы отказывают.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9"/>
                <w:szCs w:val="19"/>
              </w:rPr>
              <w:t xml:space="preserve">Не может масштабировать TG-трафик без спама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Официальная рекламная сеть внутри Telegram. Таргетинг на 50M+ пользователей без нарушения правил.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9"/>
                <w:szCs w:val="19"/>
              </w:rPr>
              <w:t xml:space="preserve">Нет точного таргетинга: платит за нерелевантную аудиторию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Настройка по ГЕО, языку, платформе (iOS/Android), Telegram Premium. Оплата только за реальные просмотры.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9"/>
                <w:szCs w:val="19"/>
              </w:rPr>
              <w:t xml:space="preserve">Дорого закупать трафик через посредников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Прямой доступ к инвентарю. CPM от $0.5, CPC от $0.01 — без наценки агентства.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19"/>
                <w:szCs w:val="19"/>
              </w:rPr>
              <w:t xml:space="preserve">Нет прозрачности: непонятно, куда идёт бюджет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Полная аналитика: просмотры, клики, CPM в реальном времени. Интеграция с трекерами.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1"/>
        <w:pBdr>
          <w:bottom w:val="single" w:color="2E75B6" w:sz="6" w:space="2"/>
        </w:pBdr>
        <w:spacing w:after="10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8"/>
          <w:szCs w:val="28"/>
        </w:rPr>
        <w:t xml:space="preserve">7. Антипортрет — кому НЕ писать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❌  Кому не писать и почему</w:t>
            </w:r>
          </w:p>
        </w:tc>
      </w:tr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❌  Белые бренды (e-commerce, FMCG, SaaS, HR) — другой стек инструментов, другая модель закупки. AdsGram не конкурент Facebook Ads для белых вертикалей.</w:t>
            </w:r>
          </w:p>
        </w:tc>
      </w:tr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❌  Рекламодатели без Telegram-стратегии и без интереса к TG-аудитории — потребуется слишком долгий прогрев, не окупается на старте.</w:t>
            </w:r>
          </w:p>
        </w:tc>
      </w:tr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❌  Разовый бюджет менее $100 без перспективы роста — unit-экономика не работает, менеджерское время дороже.</w:t>
            </w:r>
          </w:p>
        </w:tc>
      </w:tr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❌  Компании с жёсткими compliance-требованиями (банки, страховые, гос. структуры) — не пройдут модерацию AdsGram из-за форматов high-risk рекламы.</w:t>
            </w:r>
          </w:p>
        </w:tc>
      </w:tr>
      <w:tr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❌  Junior-контакты без бюджетных полномочий — смарт начинать с них как с referral, но не как с decision maker.</w:t>
            </w:r>
          </w:p>
        </w:tc>
      </w:tr>
    </w:tbl>
    <w:p>
      <w:pPr>
        <w:spacing w:after="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7"/>
          <w:szCs w:val="17"/>
        </w:rPr>
        <w:t xml:space="preserve">AdsGram  •  ICP Рекламодателя v1.0  •  Документ для внутреннего использования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spacing w:after="0" w:before="8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AdsGram  •  ICP Рекламодателя v1.0  •  Документ для внутреннего использования  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/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after="80" w:before="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7"/>
        <w:szCs w:val="17"/>
      </w:rPr>
      <w:t xml:space="preserve">ICP — Идеальный Рекламодатель   •   AdsGram   •   Рекламодатели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2026-02-25T14:20:26.009Z</dcterms:created>
  <dcterms:modified xsi:type="dcterms:W3CDTF">2026-02-25T14:20:26.010Z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