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6FE8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ICP — Идеальный Паблишер</w:t>
            </w:r>
          </w:p>
          <w:p>
            <w:pPr>
              <w:spacing w:before="80"/>
              <w:jc w:val="left"/>
            </w:pPr>
            <w:r>
              <w:rPr>
                <w:rFonts w:ascii="Arial" w:cs="Arial" w:eastAsia="Arial" w:hAnsi="Arial"/>
                <w:color w:val="C8D8F5"/>
                <w:sz w:val="22"/>
                <w:szCs w:val="22"/>
              </w:rPr>
              <w:t xml:space="preserve">Ideal Customer Profile • AdsGram • Создатели контента</w:t>
            </w:r>
          </w:p>
        </w:tc>
      </w:tr>
    </w:tbl>
    <w:p>
      <w:pPr>
        <w:spacing w:before="24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Этот документ описывает портрет создателя контента, которому наиболее выгодно подключение к рекламной сети AdsGram. Используй его как эталон при анализе базы контактов и расстановке приоритетов в outreach.</w:t>
      </w:r>
    </w:p>
    <w:p>
      <w:pPr>
        <w:spacing w:before="80" w:after="0"/>
      </w:pPr>
      <w:r>
        <w:t xml:space="preserve"/>
      </w:r>
    </w:p>
    <w:p>
      <w:pPr>
        <w:pBdr>
          <w:bottom w:val="single" w:color="E0E0E0" w:sz="4" w:space="1"/>
        </w:pBdr>
        <w:spacing w:before="200" w:after="20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1. Базовый профиль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6F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 ресурса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1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Публичный Telegram-канал (не закрытый, не платная подписка). Только публичные каналы технически поддерживаются платформой.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6F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Размер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1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100 000 — 500 000 подписчиков. Ниже 50k — экономически нецелесообразно. Выше 500k — вероятнее всего уже есть своя команда по монетизации.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6F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Вовлечённость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1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Просмотры / подписчики ≥ 20%. Это мягкий ориентир — важнее стабильность показателя, чем одноразовый всплеск.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6F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Частота постинга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1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Минимум 1 пост в день стабильно. AdsGram считает доход по просмотрам за первые 24 часа — каналы с редкими публикациями не раскрывают потенциал монетизации.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bottom w:val="single" w:color="E0E0E0" w:sz="4" w:space="1"/>
        </w:pBdr>
        <w:spacing w:before="200" w:after="20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2. Приоритетные ниши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Ниши определяются спросом рекламодателей. Основная категория — high-risk (казино, форекс, 18+), поэтому аудитории, привлекательные для этих вертикалей, — в приоритете:</w:t>
      </w:r>
    </w:p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 Крипто / Web3 / TON-экосистема — прямая синергия с TON Foundation, официальным партнёром AdsGram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 Финансы, инвестиции, трейдинг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 Гемблинг-смежный контент: ставки, спортивная аналитика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 Развлечения, юмор, мемы — мужская аудитория 18–35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 Новостные агрегаторы с широкой аудиторией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 Дейтинг / лайфстайл (18+)</w:t>
      </w:r>
    </w:p>
    <w:p>
      <w:pPr>
        <w:spacing w:before="80" w:after="0"/>
      </w:pPr>
      <w:r>
        <w:t xml:space="preserve"/>
      </w:r>
    </w:p>
    <w:p>
      <w:pPr>
        <w:pBdr>
          <w:bottom w:val="single" w:color="E0E0E0" w:sz="4" w:space="1"/>
        </w:pBdr>
        <w:spacing w:before="200" w:after="20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3. География аудитории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Рекламодатели из high-risk вертикалей платят больше за конкретные GEO:</w:t>
      </w:r>
    </w:p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Высокий приоритет: </w:t>
      </w:r>
      <w:r>
        <w:rPr>
          <w:rFonts w:ascii="Arial" w:cs="Arial" w:eastAsia="Arial" w:hAnsi="Arial"/>
          <w:sz w:val="22"/>
          <w:szCs w:val="22"/>
        </w:rPr>
        <w:t xml:space="preserve">СНГ (Россия, Украина, Казахстан, Беларусь)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Высокий приоритет: </w:t>
      </w:r>
      <w:r>
        <w:rPr>
          <w:rFonts w:ascii="Arial" w:cs="Arial" w:eastAsia="Arial" w:hAnsi="Arial"/>
          <w:sz w:val="22"/>
          <w:szCs w:val="22"/>
        </w:rPr>
        <w:t xml:space="preserve">Восточная Европа (Польша, Румыния, Болгария)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Средний приоритет: </w:t>
      </w:r>
      <w:r>
        <w:rPr>
          <w:rFonts w:ascii="Arial" w:cs="Arial" w:eastAsia="Arial" w:hAnsi="Arial"/>
          <w:sz w:val="22"/>
          <w:szCs w:val="22"/>
        </w:rPr>
        <w:t xml:space="preserve">Турция, Бразилия, Индия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Ситуативно: </w:t>
      </w:r>
      <w:r>
        <w:rPr>
          <w:rFonts w:ascii="Arial" w:cs="Arial" w:eastAsia="Arial" w:hAnsi="Arial"/>
          <w:sz w:val="22"/>
          <w:szCs w:val="22"/>
        </w:rPr>
        <w:t xml:space="preserve">Западная Европа, США — если тематика совпадает</w:t>
      </w:r>
    </w:p>
    <w:p>
      <w:pPr>
        <w:spacing w:before="80" w:after="0"/>
      </w:pPr>
      <w:r>
        <w:t xml:space="preserve"/>
      </w:r>
    </w:p>
    <w:p>
      <w:pPr>
        <w:pBdr>
          <w:bottom w:val="single" w:color="E0E0E0" w:sz="4" w:space="1"/>
        </w:pBdr>
        <w:spacing w:before="200" w:after="20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4. Признаки коммерческой активности ✨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Самый ценный сигнал при анализе базы. Канал, который уже монетизируется вручную — самый тёплый лид: он понимает ценность рекламы и мотивирован автоматизировать рутину.</w:t>
      </w:r>
    </w:p>
    <w:p>
      <w:pPr>
        <w:spacing w:before="8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0"/>
                <w:sz w:val="22"/>
                <w:szCs w:val="22"/>
              </w:rPr>
              <w:t xml:space="preserve">Сигналы ✔</w:t>
            </w:r>
          </w:p>
          <w:p>
            <w:pPr>
              <w:spacing w:before="60" w:after="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Контакт "для рекламы" в описании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Прайс-лист в канале или закреплённом посте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Профиль на Telega.in или аналогах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Явные рекламные посты в ленте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B4A00"/>
                <w:sz w:val="22"/>
                <w:szCs w:val="22"/>
              </w:rPr>
              <w:t xml:space="preserve">Что говорить такому лиду</w:t>
            </w:r>
          </w:p>
          <w:p>
            <w:pPr>
              <w:spacing w:before="60" w:after="0"/>
            </w:pPr>
            <w: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Акцент на автоматизацию: ты уже продаёшь рекламу — мы берём на себя поиск рекламодателей, согласования и выплаты.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bottom w:val="single" w:color="E0E0E0" w:sz="4" w:space="1"/>
        </w:pBdr>
        <w:spacing w:before="200" w:after="20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5. Стадия роста канала 📈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Растущий канал — приоритет перед стагнирующим. Владелец растущего канала думает о монетизации будущего трафика и мотивирован. Данные доступны через TGStat или Telemetr.</w:t>
      </w:r>
    </w:p>
    <w:p>
      <w:pPr>
        <w:spacing w:before="8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9"/>
        <w:gridCol w:w="3009"/>
      </w:tblGrid>
      <w:tr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0"/>
                <w:sz w:val="21"/>
                <w:szCs w:val="21"/>
              </w:rPr>
              <w:t xml:space="preserve">🟢 Приоритет</w:t>
            </w:r>
          </w:p>
          <w:p>
            <w:pPr>
              <w:spacing w:before="60" w:after="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+5–15% подписчиков
в месяц</w:t>
            </w:r>
          </w:p>
        </w:tc>
        <w:tc>
          <w:tcPr>
            <w:tcW w:type="dxa" w:w="300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9E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5C00"/>
                <w:sz w:val="21"/>
                <w:szCs w:val="21"/>
              </w:rPr>
              <w:t xml:space="preserve">🟡 Ситуативно</w:t>
            </w:r>
          </w:p>
          <w:p>
            <w:pPr>
              <w:spacing w:before="60" w:after="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Стабильный канал
0–5% в месяц</w:t>
            </w:r>
          </w:p>
        </w:tc>
        <w:tc>
          <w:tcPr>
            <w:tcW w:type="dxa" w:w="300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8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21"/>
                <w:szCs w:val="21"/>
              </w:rPr>
              <w:t xml:space="preserve">🔴 Низкий приоритет</w:t>
            </w:r>
          </w:p>
          <w:p>
            <w:pPr>
              <w:spacing w:before="60" w:after="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Снижение аудитории или резкий слив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bottom w:val="single" w:color="E0E0E0" w:sz="4" w:space="1"/>
        </w:pBdr>
        <w:spacing w:before="200" w:after="20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6. Боли, которые закрывает AdsGram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Боль паблишера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1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D6FE8"/>
                <w:sz w:val="21"/>
                <w:szCs w:val="21"/>
              </w:rPr>
              <w:t xml:space="preserve">Как AdsGram решает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Нет времени искать рекламодателей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Автоматический подбор и размещение рекламы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Доход нестабильный, слоты пустые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Постоянный поток рекламы из сети рекламодателей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Трачу время на переговоры и ручные выплаты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Всё автоматизировано — оплаты без ручного управления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Платит за всю аудиторию, а не целевую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Рекламодатель платит только за нужный GEO/таргет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bottom w:val="single" w:color="E0E0E0" w:sz="4" w:space="1"/>
        </w:pBdr>
        <w:spacing w:before="200" w:after="20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7. Антипортрет — кому НЕ писать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8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21"/>
                <w:szCs w:val="21"/>
              </w:rPr>
              <w:t xml:space="preserve">❌  Закрытые / приватные каналы —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Технически не поддерживаются платформой — потеря времени.</w:t>
            </w:r>
          </w:p>
        </w:tc>
      </w:tr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8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21"/>
                <w:szCs w:val="21"/>
              </w:rPr>
              <w:t xml:space="preserve">❌  Вовлечённость ниже 10% —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Скорее всего накрутка подписчиков. Реальный охват не даст результата.</w:t>
            </w:r>
          </w:p>
        </w:tc>
      </w:tr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8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21"/>
                <w:szCs w:val="21"/>
              </w:rPr>
              <w:t xml:space="preserve">❌  Нишевый B2B-контент (HR, юриспруденция, бухгалтерия) —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Рекламодатели из high-risk не платят за эту аудиторию.</w:t>
            </w:r>
          </w:p>
        </w:tc>
      </w:tr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8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21"/>
                <w:szCs w:val="21"/>
              </w:rPr>
              <w:t xml:space="preserve">❌  Каналы с дорогими прямыми рекламодателями —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Уже максимально монетизированы — замотивировать переключиться крайне сложно.</w:t>
            </w:r>
          </w:p>
        </w:tc>
      </w:tr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8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21"/>
                <w:szCs w:val="21"/>
              </w:rPr>
              <w:t xml:space="preserve">❌  Снижающаяся аудитория без объяснений —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Признак нарушений или потери интереса аудитории — риск не пройти модерацию.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Bdr>
          <w:top w:val="single" w:color="CCCCCC" w:sz="2" w:space="8"/>
        </w:pBdr>
        <w:spacing w:before="12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AdsGram • ICP v1.0 • Документ для внутреннего использования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D6FE8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2026-02-24T18:49:55.975Z</dcterms:created>
  <dcterms:modified xsi:type="dcterms:W3CDTF">2026-02-24T18:49:55.976Z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