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b/>
          <w:b/>
          <w:bCs/>
          <w:sz w:val="28"/>
          <w:szCs w:val="28"/>
          <w:u w:val="single"/>
        </w:rPr>
      </w:pPr>
      <w:r>
        <w:rPr>
          <w:rFonts w:cs="Times New Roman" w:ascii="Times New Roman" w:hAnsi="Times New Roman"/>
          <w:b/>
          <w:bCs/>
          <w:sz w:val="28"/>
          <w:szCs w:val="28"/>
          <w:u w:val="single"/>
        </w:rPr>
        <w:t>PROJET ÉTUDE BIO-INFORMATIQUE DU GENE P53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Découvert en 1979 par Lane et Crawford, ce gène est le gardien du génome. Le gène p53 est localisé sur le bras court (p) du chromosome 17, au locus 17p13.1, une région sujette à des pertes alléliques et code pour la protéine p53 ou TP53 (Tumour Protein of 53 kilodaltons), une phosphoprotéine nucléaire de 393 acides aminés, qui est un facteur de transcription aux propriétés anti-oncogènes [TEXF-PU-2005-00151338-6-1].</w:t>
      </w:r>
    </w:p>
    <w:p>
      <w:pPr>
        <w:pStyle w:val="Normal"/>
        <w:rPr>
          <w:rFonts w:ascii="Times New Roman" w:hAnsi="Times New Roman" w:cs="Times New Roman"/>
          <w:sz w:val="24"/>
          <w:szCs w:val="24"/>
        </w:rPr>
      </w:pPr>
      <w:r>
        <w:rPr>
          <w:rFonts w:cs="Times New Roman" w:ascii="Times New Roman" w:hAnsi="Times New Roman"/>
          <w:sz w:val="24"/>
          <w:szCs w:val="24"/>
        </w:rPr>
        <w:t xml:space="preserve">La protéine p53 issue du gène sauvage est le pivot régulateur central du cycle cellulaire. Lorsque des mutations de l’ADN (acide désoxyri- bonucléique) sont présentes en grand nombre dans une cellule, le type sauvage de p53 arrête momentanément le cycle cellulaire, en empêchant le franchissement du point de restriction R (pas- sage de G1 à S), afin de permettre à la cellule de réparer les erreurs. </w:t>
      </w:r>
      <w:r>
        <w:rPr>
          <w:rFonts w:cs="Times New Roman" w:ascii="Times New Roman" w:hAnsi="Times New Roman"/>
          <w:sz w:val="24"/>
          <w:szCs w:val="24"/>
        </w:rPr>
        <w:t xml:space="preserve">Lorsque les mutations sont trop nombreuses pour être réparées, p53 oriente la cellule vers l’apoptose, par l’intermédiaire du gène Bax: </w:t>
      </w:r>
      <w:r>
        <w:rPr>
          <w:rFonts w:cs="Times New Roman" w:ascii="Times New Roman" w:hAnsi="Times New Roman"/>
          <w:sz w:val="24"/>
          <w:szCs w:val="24"/>
        </w:rPr>
        <w:t xml:space="preserve">Le gène p53 est un gène suppresseur de tumeurs [TEXF-PU-2005-00151338-6-1]. </w:t>
      </w:r>
    </w:p>
    <w:p>
      <w:pPr>
        <w:pStyle w:val="Normal"/>
        <w:rPr>
          <w:rFonts w:ascii="Times New Roman" w:hAnsi="Times New Roman" w:cs="Times New Roman"/>
          <w:sz w:val="24"/>
          <w:szCs w:val="24"/>
        </w:rPr>
      </w:pPr>
      <w:r>
        <w:rPr>
          <w:rFonts w:cs="Times New Roman" w:ascii="Times New Roman" w:hAnsi="Times New Roman"/>
          <w:sz w:val="24"/>
          <w:szCs w:val="24"/>
        </w:rPr>
        <w:t>Après exposition des cellules à des agents génotoxiques tels que les radiations ionisantes, il se produit une augmentation transitoire du taux de p53 par la voie de l’oncoprotéine mdm-2 (murine double minute-2), régulateur négatif de p53. Cette surexpression de p53 peut avoir deux conséquences : l’arrêt du cycle cellulaire en phase G1 ou l’apoptose. Dans le premier cas, les cellules rentrent dans le cycle cellulaire après réparation de leur ADN endommagé ; dans le second, les cellules contenant des altérations sont éliminées [TEXF-PU-2005-00151338-6-1].</w:t>
      </w:r>
    </w:p>
    <w:p>
      <w:pPr>
        <w:pStyle w:val="Normal"/>
        <w:rPr>
          <w:rFonts w:ascii="Times New Roman" w:hAnsi="Times New Roman" w:cs="Times New Roman"/>
          <w:sz w:val="24"/>
          <w:szCs w:val="24"/>
        </w:rPr>
      </w:pPr>
      <w:r>
        <w:rPr>
          <w:rFonts w:cs="Times New Roman" w:ascii="Times New Roman" w:hAnsi="Times New Roman"/>
          <w:sz w:val="24"/>
          <w:szCs w:val="24"/>
        </w:rPr>
        <w:t xml:space="preserve">La protéine p53 issue du gène muté ou inactif (suite à une délétion des gènes de régulation) n’a pas de propriétés anti-oncogènes suite à une altération du site de liaison de l’ADN, la cellule continue à se diviser en accumulant des mutations. Cette instabilité génomique est à l’origine de l’augmentation de l’agressivité tumorale. Le gène p53 est le gène le plus fréquemment muté dans les cancers humains [TEXF-PU-2005-00151338-6-1]. </w:t>
      </w:r>
    </w:p>
    <w:p>
      <w:pPr>
        <w:pStyle w:val="Normal"/>
        <w:rPr>
          <w:rFonts w:ascii="Times New Roman" w:hAnsi="Times New Roman" w:cs="Times New Roman"/>
          <w:sz w:val="24"/>
          <w:szCs w:val="24"/>
        </w:rPr>
      </w:pPr>
      <w:r>
        <w:rPr>
          <w:rFonts w:cs="Times New Roman" w:ascii="Times New Roman" w:hAnsi="Times New Roman"/>
          <w:sz w:val="24"/>
          <w:szCs w:val="24"/>
        </w:rPr>
        <w:t>Paradoxalement, dans les cellules tumorales, il existe souvent une surexpression du gène p53, avec, dans de nombreux cas une accumulation de la protéine p53 anormale qui forme des complexes inactifs avec la protéine p53 normale [TEXF-PU-2005-00151338-6-1].</w:t>
      </w:r>
    </w:p>
    <w:p>
      <w:pPr>
        <w:pStyle w:val="Normal"/>
        <w:rPr>
          <w:rFonts w:ascii="Times New Roman" w:hAnsi="Times New Roman" w:cs="Times New Roman"/>
          <w:sz w:val="24"/>
          <w:szCs w:val="24"/>
        </w:rPr>
      </w:pPr>
      <w:r>
        <w:rPr>
          <w:rFonts w:cs="Times New Roman" w:ascii="Times New Roman" w:hAnsi="Times New Roman"/>
          <w:sz w:val="24"/>
          <w:szCs w:val="24"/>
        </w:rPr>
        <w:t>A chacune des divisions cellulaires, la longueur génomique diminue de 50 à 60 nucléotides environ. Les cellules ayant perdu le contrôle de p53 ont une activité réplicative intense mais ne sont pas immortelles [TEXF-PU-2005-00151338-6-1].</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Le gène p53 comporte 20303 paires de bases</w:t>
      </w:r>
    </w:p>
    <w:p>
      <w:pPr>
        <w:pStyle w:val="Normal"/>
        <w:rPr>
          <w:rFonts w:ascii="Times New Roman" w:hAnsi="Times New Roman" w:cs="Times New Roman"/>
          <w:sz w:val="24"/>
          <w:szCs w:val="24"/>
        </w:rPr>
      </w:pPr>
      <w:r>
        <w:rPr>
          <w:rFonts w:cs="Times New Roman" w:ascii="Times New Roman" w:hAnsi="Times New Roman"/>
          <w:sz w:val="24"/>
          <w:szCs w:val="24"/>
        </w:rPr>
        <w:t>réparties en 11 exons. La protéine p53 est codée</w:t>
      </w:r>
    </w:p>
    <w:p>
      <w:pPr>
        <w:pStyle w:val="Normal"/>
        <w:rPr>
          <w:rFonts w:ascii="Times New Roman" w:hAnsi="Times New Roman" w:cs="Times New Roman"/>
          <w:sz w:val="24"/>
          <w:szCs w:val="24"/>
        </w:rPr>
      </w:pPr>
      <w:r>
        <w:rPr>
          <w:rFonts w:cs="Times New Roman" w:ascii="Times New Roman" w:hAnsi="Times New Roman"/>
          <w:sz w:val="24"/>
          <w:szCs w:val="24"/>
        </w:rPr>
        <w:t>par les exons 2 à 11 du gène p53. La majeure par-</w:t>
      </w:r>
    </w:p>
    <w:p>
      <w:pPr>
        <w:pStyle w:val="Normal"/>
        <w:rPr>
          <w:rFonts w:ascii="Times New Roman" w:hAnsi="Times New Roman" w:cs="Times New Roman"/>
          <w:sz w:val="24"/>
          <w:szCs w:val="24"/>
        </w:rPr>
      </w:pPr>
      <w:r>
        <w:rPr>
          <w:rFonts w:cs="Times New Roman" w:ascii="Times New Roman" w:hAnsi="Times New Roman"/>
          <w:sz w:val="24"/>
          <w:szCs w:val="24"/>
        </w:rPr>
        <w:t>tie codante du gène est concentrée au sein d’une</w:t>
      </w:r>
    </w:p>
    <w:p>
      <w:pPr>
        <w:pStyle w:val="Normal"/>
        <w:rPr>
          <w:rFonts w:ascii="Times New Roman" w:hAnsi="Times New Roman" w:cs="Times New Roman"/>
          <w:sz w:val="24"/>
          <w:szCs w:val="24"/>
        </w:rPr>
      </w:pPr>
      <w:r>
        <w:rPr>
          <w:rFonts w:cs="Times New Roman" w:ascii="Times New Roman" w:hAnsi="Times New Roman"/>
          <w:sz w:val="24"/>
          <w:szCs w:val="24"/>
        </w:rPr>
        <w:t>zone de 3066 paires de bases (Figure 5 et</w:t>
      </w:r>
    </w:p>
    <w:p>
      <w:pPr>
        <w:pStyle w:val="Normal"/>
        <w:rPr>
          <w:rFonts w:ascii="Times New Roman" w:hAnsi="Times New Roman" w:cs="Times New Roman"/>
          <w:sz w:val="24"/>
          <w:szCs w:val="24"/>
        </w:rPr>
      </w:pPr>
      <w:r>
        <w:rPr>
          <w:rFonts w:cs="Times New Roman" w:ascii="Times New Roman" w:hAnsi="Times New Roman"/>
          <w:sz w:val="24"/>
          <w:szCs w:val="24"/>
        </w:rPr>
        <w:t>Tableau 3).</w:t>
      </w:r>
    </w:p>
    <w:p>
      <w:pPr>
        <w:pStyle w:val="Normal"/>
        <w:rPr>
          <w:rFonts w:ascii="Times New Roman" w:hAnsi="Times New Roman" w:cs="Times New Roman"/>
          <w:sz w:val="24"/>
          <w:szCs w:val="24"/>
        </w:rPr>
      </w:pPr>
      <w:r>
        <w:rPr>
          <w:rFonts w:cs="Times New Roman" w:ascii="Times New Roman" w:hAnsi="Times New Roman"/>
          <w:sz w:val="24"/>
          <w:szCs w:val="24"/>
        </w:rPr>
        <w:t>La protéine p53 comporte plusieurs domaines</w:t>
      </w:r>
    </w:p>
    <w:p>
      <w:pPr>
        <w:pStyle w:val="Normal"/>
        <w:rPr>
          <w:rFonts w:ascii="Times New Roman" w:hAnsi="Times New Roman" w:cs="Times New Roman"/>
          <w:sz w:val="24"/>
          <w:szCs w:val="24"/>
        </w:rPr>
      </w:pPr>
      <w:r>
        <w:rPr>
          <w:rFonts w:cs="Times New Roman" w:ascii="Times New Roman" w:hAnsi="Times New Roman"/>
          <w:sz w:val="24"/>
          <w:szCs w:val="24"/>
        </w:rPr>
        <w:t>ayant chacun un rôle différent (Figure 5). La</w:t>
      </w:r>
    </w:p>
    <w:p>
      <w:pPr>
        <w:pStyle w:val="Normal"/>
        <w:rPr>
          <w:rFonts w:ascii="Times New Roman" w:hAnsi="Times New Roman" w:cs="Times New Roman"/>
          <w:sz w:val="24"/>
          <w:szCs w:val="24"/>
        </w:rPr>
      </w:pPr>
      <w:r>
        <w:rPr>
          <w:rFonts w:cs="Times New Roman" w:ascii="Times New Roman" w:hAnsi="Times New Roman"/>
          <w:sz w:val="24"/>
          <w:szCs w:val="24"/>
        </w:rPr>
        <w:t>région N-terminale (codons 1 à 42) confère à p53</w:t>
      </w:r>
    </w:p>
    <w:p>
      <w:pPr>
        <w:pStyle w:val="Normal"/>
        <w:rPr>
          <w:rFonts w:ascii="Times New Roman" w:hAnsi="Times New Roman" w:cs="Times New Roman"/>
          <w:sz w:val="24"/>
          <w:szCs w:val="24"/>
        </w:rPr>
      </w:pPr>
      <w:r>
        <w:rPr>
          <w:rFonts w:cs="Times New Roman" w:ascii="Times New Roman" w:hAnsi="Times New Roman"/>
          <w:sz w:val="24"/>
          <w:szCs w:val="24"/>
        </w:rPr>
        <w:t>l’activité de facteur de transcription (I : domaine de</w:t>
      </w:r>
    </w:p>
    <w:p>
      <w:pPr>
        <w:pStyle w:val="Normal"/>
        <w:rPr>
          <w:rFonts w:ascii="Times New Roman" w:hAnsi="Times New Roman" w:cs="Times New Roman"/>
          <w:sz w:val="24"/>
          <w:szCs w:val="24"/>
        </w:rPr>
      </w:pPr>
      <w:r>
        <w:rPr>
          <w:rFonts w:cs="Times New Roman" w:ascii="Times New Roman" w:hAnsi="Times New Roman"/>
          <w:sz w:val="24"/>
          <w:szCs w:val="24"/>
        </w:rPr>
        <w:t>transactivation). Le domaine central (codons 120</w:t>
      </w:r>
    </w:p>
    <w:p>
      <w:pPr>
        <w:pStyle w:val="Normal"/>
        <w:rPr>
          <w:rFonts w:ascii="Times New Roman" w:hAnsi="Times New Roman" w:cs="Times New Roman"/>
          <w:sz w:val="24"/>
          <w:szCs w:val="24"/>
        </w:rPr>
      </w:pPr>
      <w:r>
        <w:rPr>
          <w:rFonts w:cs="Times New Roman" w:ascii="Times New Roman" w:hAnsi="Times New Roman"/>
          <w:sz w:val="24"/>
          <w:szCs w:val="24"/>
        </w:rPr>
        <w:t>à 290) reconnaît et lie des séquences cibles spé-</w:t>
      </w:r>
    </w:p>
    <w:p>
      <w:pPr>
        <w:pStyle w:val="Normal"/>
        <w:rPr>
          <w:rFonts w:ascii="Times New Roman" w:hAnsi="Times New Roman" w:cs="Times New Roman"/>
          <w:sz w:val="24"/>
          <w:szCs w:val="24"/>
        </w:rPr>
      </w:pPr>
      <w:r>
        <w:rPr>
          <w:rFonts w:cs="Times New Roman" w:ascii="Times New Roman" w:hAnsi="Times New Roman"/>
          <w:sz w:val="24"/>
          <w:szCs w:val="24"/>
        </w:rPr>
        <w:t>cifiques d’ADN grâce à une séquence palindro-</w:t>
      </w:r>
    </w:p>
    <w:p>
      <w:pPr>
        <w:pStyle w:val="Normal"/>
        <w:rPr>
          <w:rFonts w:ascii="Times New Roman" w:hAnsi="Times New Roman" w:cs="Times New Roman"/>
          <w:sz w:val="24"/>
          <w:szCs w:val="24"/>
        </w:rPr>
      </w:pPr>
      <w:r>
        <w:rPr>
          <w:rFonts w:cs="Times New Roman" w:ascii="Times New Roman" w:hAnsi="Times New Roman"/>
          <w:sz w:val="24"/>
          <w:szCs w:val="24"/>
        </w:rPr>
        <w:t>mique de 10 paires de bases. L’extrémité C-termi-</w:t>
      </w:r>
    </w:p>
    <w:p>
      <w:pPr>
        <w:pStyle w:val="Normal"/>
        <w:rPr>
          <w:rFonts w:ascii="Times New Roman" w:hAnsi="Times New Roman" w:cs="Times New Roman"/>
          <w:sz w:val="24"/>
          <w:szCs w:val="24"/>
        </w:rPr>
      </w:pPr>
      <w:r>
        <w:rPr>
          <w:rFonts w:cs="Times New Roman" w:ascii="Times New Roman" w:hAnsi="Times New Roman"/>
          <w:sz w:val="24"/>
          <w:szCs w:val="24"/>
        </w:rPr>
        <w:t>nale (codons 310 à 390) reconnaît des séquences</w:t>
      </w:r>
    </w:p>
    <w:p>
      <w:pPr>
        <w:pStyle w:val="Normal"/>
        <w:rPr>
          <w:rFonts w:ascii="Times New Roman" w:hAnsi="Times New Roman" w:cs="Times New Roman"/>
          <w:sz w:val="24"/>
          <w:szCs w:val="24"/>
        </w:rPr>
      </w:pPr>
      <w:r>
        <w:rPr>
          <w:rFonts w:cs="Times New Roman" w:ascii="Times New Roman" w:hAnsi="Times New Roman"/>
          <w:sz w:val="24"/>
          <w:szCs w:val="24"/>
        </w:rPr>
        <w:t>monocaténaires d’ADN endommagé, avec les-</w:t>
      </w:r>
    </w:p>
    <w:p>
      <w:pPr>
        <w:pStyle w:val="Normal"/>
        <w:rPr>
          <w:rFonts w:ascii="Times New Roman" w:hAnsi="Times New Roman" w:cs="Times New Roman"/>
          <w:sz w:val="24"/>
          <w:szCs w:val="24"/>
        </w:rPr>
      </w:pPr>
      <w:r>
        <w:rPr>
          <w:rFonts w:cs="Times New Roman" w:ascii="Times New Roman" w:hAnsi="Times New Roman"/>
          <w:sz w:val="24"/>
          <w:szCs w:val="24"/>
        </w:rPr>
        <w:t>quelles elle forme des complexes stables. L’oligo-</w:t>
      </w:r>
    </w:p>
    <w:p>
      <w:pPr>
        <w:pStyle w:val="Normal"/>
        <w:rPr>
          <w:rFonts w:ascii="Times New Roman" w:hAnsi="Times New Roman" w:cs="Times New Roman"/>
          <w:sz w:val="24"/>
          <w:szCs w:val="24"/>
        </w:rPr>
      </w:pPr>
      <w:r>
        <w:rPr>
          <w:rFonts w:cs="Times New Roman" w:ascii="Times New Roman" w:hAnsi="Times New Roman"/>
          <w:sz w:val="24"/>
          <w:szCs w:val="24"/>
        </w:rPr>
        <w:t>mérisation de p53 (p53 est un tétramère) est éga-</w:t>
      </w:r>
    </w:p>
    <w:p>
      <w:pPr>
        <w:pStyle w:val="Normal"/>
        <w:rPr>
          <w:rFonts w:ascii="Times New Roman" w:hAnsi="Times New Roman" w:cs="Times New Roman"/>
          <w:sz w:val="24"/>
          <w:szCs w:val="24"/>
        </w:rPr>
      </w:pPr>
      <w:r>
        <w:rPr>
          <w:rFonts w:cs="Times New Roman" w:ascii="Times New Roman" w:hAnsi="Times New Roman"/>
          <w:sz w:val="24"/>
          <w:szCs w:val="24"/>
        </w:rPr>
        <w:t>lement régulée par ce même domaine (codons</w:t>
      </w:r>
    </w:p>
    <w:p>
      <w:pPr>
        <w:pStyle w:val="Normal"/>
        <w:rPr>
          <w:rFonts w:ascii="Times New Roman" w:hAnsi="Times New Roman" w:cs="Times New Roman"/>
          <w:sz w:val="24"/>
          <w:szCs w:val="24"/>
        </w:rPr>
      </w:pPr>
      <w:r>
        <w:rPr>
          <w:rFonts w:cs="Times New Roman" w:ascii="Times New Roman" w:hAnsi="Times New Roman"/>
          <w:sz w:val="24"/>
          <w:szCs w:val="24"/>
        </w:rPr>
        <w:t>310 à 350)</w:t>
      </w:r>
    </w:p>
    <w:p>
      <w:pPr>
        <w:pStyle w:val="Normal"/>
        <w:rPr>
          <w:rFonts w:ascii="Times New Roman" w:hAnsi="Times New Roman" w:cs="Times New Roman"/>
          <w:sz w:val="24"/>
          <w:szCs w:val="24"/>
        </w:rPr>
      </w:pPr>
      <w:r>
        <w:rPr>
          <w:rFonts w:cs="Times New Roman" w:ascii="Times New Roman" w:hAnsi="Times New Roman"/>
          <w:sz w:val="24"/>
          <w:szCs w:val="24"/>
        </w:rPr>
        <w:t>Le gène p53 est un bon outil d’étude pour plu-</w:t>
      </w:r>
    </w:p>
    <w:p>
      <w:pPr>
        <w:pStyle w:val="Normal"/>
        <w:rPr>
          <w:rFonts w:ascii="Times New Roman" w:hAnsi="Times New Roman" w:cs="Times New Roman"/>
          <w:sz w:val="24"/>
          <w:szCs w:val="24"/>
        </w:rPr>
      </w:pPr>
      <w:r>
        <w:rPr>
          <w:rFonts w:cs="Times New Roman" w:ascii="Times New Roman" w:hAnsi="Times New Roman"/>
          <w:sz w:val="24"/>
          <w:szCs w:val="24"/>
        </w:rPr>
        <w:t>sieurs raisons :</w:t>
      </w:r>
    </w:p>
    <w:p>
      <w:pPr>
        <w:pStyle w:val="Normal"/>
        <w:rPr>
          <w:rFonts w:ascii="Times New Roman" w:hAnsi="Times New Roman" w:cs="Times New Roman"/>
          <w:sz w:val="24"/>
          <w:szCs w:val="24"/>
        </w:rPr>
      </w:pPr>
      <w:r>
        <w:rPr>
          <w:rFonts w:cs="Times New Roman" w:ascii="Times New Roman" w:hAnsi="Times New Roman"/>
          <w:sz w:val="24"/>
          <w:szCs w:val="24"/>
        </w:rPr>
        <w:t>- les mutations de p53 dans les tumeurs de la</w:t>
      </w:r>
    </w:p>
    <w:p>
      <w:pPr>
        <w:pStyle w:val="Normal"/>
        <w:rPr>
          <w:rFonts w:ascii="Times New Roman" w:hAnsi="Times New Roman" w:cs="Times New Roman"/>
          <w:sz w:val="24"/>
          <w:szCs w:val="24"/>
        </w:rPr>
      </w:pPr>
      <w:r>
        <w:rPr>
          <w:rFonts w:cs="Times New Roman" w:ascii="Times New Roman" w:hAnsi="Times New Roman"/>
          <w:sz w:val="24"/>
          <w:szCs w:val="24"/>
        </w:rPr>
        <w:t>vessie sont un événement fréquent (40% à</w:t>
      </w:r>
    </w:p>
    <w:p>
      <w:pPr>
        <w:pStyle w:val="Normal"/>
        <w:rPr>
          <w:rFonts w:ascii="Times New Roman" w:hAnsi="Times New Roman" w:cs="Times New Roman"/>
          <w:sz w:val="24"/>
          <w:szCs w:val="24"/>
        </w:rPr>
      </w:pPr>
      <w:r>
        <w:rPr>
          <w:rFonts w:cs="Times New Roman" w:ascii="Times New Roman" w:hAnsi="Times New Roman"/>
          <w:sz w:val="24"/>
          <w:szCs w:val="24"/>
        </w:rPr>
        <w:t>61%, selon les auteurs :(1);</w:t>
      </w:r>
    </w:p>
    <w:p>
      <w:pPr>
        <w:pStyle w:val="Normal"/>
        <w:rPr>
          <w:rFonts w:ascii="Times New Roman" w:hAnsi="Times New Roman" w:cs="Times New Roman"/>
          <w:sz w:val="24"/>
          <w:szCs w:val="24"/>
        </w:rPr>
      </w:pPr>
      <w:r>
        <w:rPr>
          <w:rFonts w:cs="Times New Roman" w:ascii="Times New Roman" w:hAnsi="Times New Roman"/>
          <w:sz w:val="24"/>
          <w:szCs w:val="24"/>
        </w:rPr>
        <w:t>- l’analyse des bases de données : IARC (Inter-</w:t>
      </w:r>
    </w:p>
    <w:p>
      <w:pPr>
        <w:pStyle w:val="Normal"/>
        <w:rPr>
          <w:rFonts w:ascii="Times New Roman" w:hAnsi="Times New Roman" w:cs="Times New Roman"/>
          <w:sz w:val="24"/>
          <w:szCs w:val="24"/>
        </w:rPr>
      </w:pPr>
      <w:r>
        <w:rPr>
          <w:rFonts w:cs="Times New Roman" w:ascii="Times New Roman" w:hAnsi="Times New Roman"/>
          <w:sz w:val="24"/>
          <w:szCs w:val="24"/>
        </w:rPr>
        <w:t>national Agency for Research on Cancer) (Fig-</w:t>
      </w:r>
    </w:p>
    <w:p>
      <w:pPr>
        <w:pStyle w:val="Normal"/>
        <w:rPr>
          <w:rFonts w:ascii="Times New Roman" w:hAnsi="Times New Roman" w:cs="Times New Roman"/>
          <w:sz w:val="24"/>
          <w:szCs w:val="24"/>
        </w:rPr>
      </w:pPr>
      <w:r>
        <w:rPr>
          <w:rFonts w:cs="Times New Roman" w:ascii="Times New Roman" w:hAnsi="Times New Roman"/>
          <w:sz w:val="24"/>
          <w:szCs w:val="24"/>
        </w:rPr>
        <w:t>ure 6), UMD Necker (Figure 7), indique qu’un</w:t>
      </w:r>
    </w:p>
    <w:p>
      <w:pPr>
        <w:pStyle w:val="Normal"/>
        <w:rPr>
          <w:rFonts w:ascii="Times New Roman" w:hAnsi="Times New Roman" w:cs="Times New Roman"/>
          <w:sz w:val="24"/>
          <w:szCs w:val="24"/>
        </w:rPr>
      </w:pPr>
      <w:r>
        <w:rPr>
          <w:rFonts w:cs="Times New Roman" w:ascii="Times New Roman" w:hAnsi="Times New Roman"/>
          <w:sz w:val="24"/>
          <w:szCs w:val="24"/>
        </w:rPr>
        <w:t>nombre important de codons est la cible de</w:t>
      </w:r>
    </w:p>
    <w:p>
      <w:pPr>
        <w:pStyle w:val="Normal"/>
        <w:rPr>
          <w:rFonts w:ascii="Times New Roman" w:hAnsi="Times New Roman" w:cs="Times New Roman"/>
          <w:sz w:val="24"/>
          <w:szCs w:val="24"/>
        </w:rPr>
      </w:pPr>
      <w:r>
        <w:rPr>
          <w:rFonts w:cs="Times New Roman" w:ascii="Times New Roman" w:hAnsi="Times New Roman"/>
          <w:sz w:val="24"/>
          <w:szCs w:val="24"/>
        </w:rPr>
        <w:t>mutations inactivant la fonction de la protéine ;</w:t>
      </w:r>
    </w:p>
    <w:p>
      <w:pPr>
        <w:pStyle w:val="Normal"/>
        <w:rPr>
          <w:rFonts w:ascii="Times New Roman" w:hAnsi="Times New Roman" w:cs="Times New Roman"/>
          <w:sz w:val="24"/>
          <w:szCs w:val="24"/>
        </w:rPr>
      </w:pPr>
      <w:r>
        <w:rPr>
          <w:rFonts w:cs="Times New Roman" w:ascii="Times New Roman" w:hAnsi="Times New Roman"/>
          <w:sz w:val="24"/>
          <w:szCs w:val="24"/>
        </w:rPr>
        <w:t>il ne s’agit donc pas de polymorphismes géné-</w:t>
      </w:r>
    </w:p>
    <w:p>
      <w:pPr>
        <w:pStyle w:val="Normal"/>
        <w:rPr>
          <w:rFonts w:ascii="Times New Roman" w:hAnsi="Times New Roman" w:cs="Times New Roman"/>
          <w:sz w:val="24"/>
          <w:szCs w:val="24"/>
        </w:rPr>
      </w:pPr>
      <w:r>
        <w:rPr>
          <w:rFonts w:cs="Times New Roman" w:ascii="Times New Roman" w:hAnsi="Times New Roman"/>
          <w:sz w:val="24"/>
          <w:szCs w:val="24"/>
        </w:rPr>
        <w:t>tiques.</w:t>
      </w:r>
    </w:p>
    <w:p>
      <w:pPr>
        <w:pStyle w:val="Normal"/>
        <w:rPr>
          <w:rFonts w:ascii="Times New Roman" w:hAnsi="Times New Roman" w:cs="Times New Roman"/>
          <w:sz w:val="24"/>
          <w:szCs w:val="24"/>
        </w:rPr>
      </w:pPr>
      <w:r>
        <w:rPr>
          <w:rFonts w:cs="Times New Roman" w:ascii="Times New Roman" w:hAnsi="Times New Roman"/>
          <w:sz w:val="24"/>
          <w:szCs w:val="24"/>
        </w:rPr>
        <w:t>- cette distribution reconnaît des cibles préféren-</w:t>
      </w:r>
    </w:p>
    <w:p>
      <w:pPr>
        <w:pStyle w:val="Normal"/>
        <w:rPr>
          <w:rFonts w:ascii="Times New Roman" w:hAnsi="Times New Roman" w:cs="Times New Roman"/>
          <w:sz w:val="24"/>
          <w:szCs w:val="24"/>
        </w:rPr>
      </w:pPr>
      <w:r>
        <w:rPr>
          <w:rFonts w:cs="Times New Roman" w:ascii="Times New Roman" w:hAnsi="Times New Roman"/>
          <w:sz w:val="24"/>
          <w:szCs w:val="24"/>
        </w:rPr>
        <w:t>tielles, localisées à la partie centrale de la pro-</w:t>
      </w:r>
    </w:p>
    <w:p>
      <w:pPr>
        <w:pStyle w:val="Normal"/>
        <w:rPr>
          <w:rFonts w:ascii="Times New Roman" w:hAnsi="Times New Roman" w:cs="Times New Roman"/>
          <w:sz w:val="24"/>
          <w:szCs w:val="24"/>
        </w:rPr>
      </w:pPr>
      <w:r>
        <w:rPr>
          <w:rFonts w:cs="Times New Roman" w:ascii="Times New Roman" w:hAnsi="Times New Roman"/>
          <w:sz w:val="24"/>
          <w:szCs w:val="24"/>
        </w:rPr>
        <w:t>téine (domaine de fixation à l’ADN), les codons</w:t>
      </w:r>
    </w:p>
    <w:p>
      <w:pPr>
        <w:pStyle w:val="Normal"/>
        <w:rPr>
          <w:rFonts w:ascii="Times New Roman" w:hAnsi="Times New Roman" w:cs="Times New Roman"/>
          <w:sz w:val="24"/>
          <w:szCs w:val="24"/>
        </w:rPr>
      </w:pPr>
      <w:r>
        <w:rPr>
          <w:rFonts w:cs="Times New Roman" w:ascii="Times New Roman" w:hAnsi="Times New Roman"/>
          <w:sz w:val="24"/>
          <w:szCs w:val="24"/>
        </w:rPr>
        <w:t>175, 248 et 273. De plus, ces codons peuvent</w:t>
      </w:r>
    </w:p>
    <w:p>
      <w:pPr>
        <w:pStyle w:val="Normal"/>
        <w:rPr>
          <w:rFonts w:ascii="Times New Roman" w:hAnsi="Times New Roman" w:cs="Times New Roman"/>
          <w:sz w:val="24"/>
          <w:szCs w:val="24"/>
        </w:rPr>
      </w:pPr>
      <w:r>
        <w:rPr>
          <w:rFonts w:cs="Times New Roman" w:ascii="Times New Roman" w:hAnsi="Times New Roman"/>
          <w:sz w:val="24"/>
          <w:szCs w:val="24"/>
        </w:rPr>
        <w:t>faire l’objet d’événements mutationnels diffé-</w:t>
      </w:r>
    </w:p>
    <w:p>
      <w:pPr>
        <w:pStyle w:val="Normal"/>
        <w:rPr>
          <w:rFonts w:ascii="Times New Roman" w:hAnsi="Times New Roman" w:cs="Times New Roman"/>
          <w:sz w:val="24"/>
          <w:szCs w:val="24"/>
        </w:rPr>
      </w:pPr>
      <w:r>
        <w:rPr>
          <w:rFonts w:cs="Times New Roman" w:ascii="Times New Roman" w:hAnsi="Times New Roman"/>
          <w:sz w:val="24"/>
          <w:szCs w:val="24"/>
        </w:rPr>
        <w:t>rents, ce qui est d’un grand intérêt épidémiolo-</w:t>
      </w:r>
    </w:p>
    <w:p>
      <w:pPr>
        <w:pStyle w:val="Normal"/>
        <w:rPr>
          <w:rFonts w:ascii="Times New Roman" w:hAnsi="Times New Roman" w:cs="Times New Roman"/>
          <w:sz w:val="24"/>
          <w:szCs w:val="24"/>
        </w:rPr>
      </w:pPr>
      <w:r>
        <w:rPr>
          <w:rFonts w:cs="Times New Roman" w:ascii="Times New Roman" w:hAnsi="Times New Roman"/>
          <w:sz w:val="24"/>
          <w:szCs w:val="24"/>
        </w:rPr>
        <w:t>gique.</w:t>
      </w:r>
    </w:p>
    <w:p>
      <w:pPr>
        <w:pStyle w:val="Normal"/>
        <w:rPr>
          <w:rFonts w:ascii="Times New Roman" w:hAnsi="Times New Roman" w:cs="Times New Roman"/>
          <w:sz w:val="24"/>
          <w:szCs w:val="24"/>
        </w:rPr>
      </w:pPr>
      <w:r>
        <w:rPr>
          <w:rFonts w:cs="Times New Roman" w:ascii="Times New Roman" w:hAnsi="Times New Roman"/>
          <w:sz w:val="24"/>
          <w:szCs w:val="24"/>
        </w:rPr>
        <w:t>- étant donné que 90% des altérations sont des</w:t>
      </w:r>
    </w:p>
    <w:p>
      <w:pPr>
        <w:pStyle w:val="Normal"/>
        <w:rPr>
          <w:rFonts w:ascii="Times New Roman" w:hAnsi="Times New Roman" w:cs="Times New Roman"/>
          <w:sz w:val="24"/>
          <w:szCs w:val="24"/>
        </w:rPr>
      </w:pPr>
      <w:r>
        <w:rPr>
          <w:rFonts w:cs="Times New Roman" w:ascii="Times New Roman" w:hAnsi="Times New Roman"/>
          <w:sz w:val="24"/>
          <w:szCs w:val="24"/>
        </w:rPr>
        <w:t>mutations ponctuelles, qui, pour des raisons</w:t>
      </w:r>
    </w:p>
    <w:p>
      <w:pPr>
        <w:pStyle w:val="Normal"/>
        <w:rPr>
          <w:rFonts w:ascii="Times New Roman" w:hAnsi="Times New Roman" w:cs="Times New Roman"/>
          <w:sz w:val="24"/>
          <w:szCs w:val="24"/>
        </w:rPr>
      </w:pPr>
      <w:r>
        <w:rPr>
          <w:rFonts w:cs="Times New Roman" w:ascii="Times New Roman" w:hAnsi="Times New Roman"/>
          <w:sz w:val="24"/>
          <w:szCs w:val="24"/>
        </w:rPr>
        <w:t>encore peu claires, permettent le maintien</w:t>
      </w:r>
    </w:p>
    <w:p>
      <w:pPr>
        <w:pStyle w:val="Normal"/>
        <w:rPr>
          <w:rFonts w:ascii="Times New Roman" w:hAnsi="Times New Roman" w:cs="Times New Roman"/>
          <w:sz w:val="24"/>
          <w:szCs w:val="24"/>
        </w:rPr>
      </w:pPr>
      <w:r>
        <w:rPr>
          <w:rFonts w:cs="Times New Roman" w:ascii="Times New Roman" w:hAnsi="Times New Roman"/>
          <w:sz w:val="24"/>
          <w:szCs w:val="24"/>
        </w:rPr>
        <w:t>d’une protéine p53 entière mais inactive, cette</w:t>
      </w:r>
    </w:p>
    <w:p>
      <w:pPr>
        <w:pStyle w:val="Normal"/>
        <w:rPr>
          <w:rFonts w:ascii="Times New Roman" w:hAnsi="Times New Roman" w:cs="Times New Roman"/>
          <w:sz w:val="24"/>
          <w:szCs w:val="24"/>
        </w:rPr>
      </w:pPr>
      <w:r>
        <w:rPr>
          <w:rFonts w:cs="Times New Roman" w:ascii="Times New Roman" w:hAnsi="Times New Roman"/>
          <w:sz w:val="24"/>
          <w:szCs w:val="24"/>
        </w:rPr>
        <w:t>fréquence accrue nous permet de mieux éva-</w:t>
      </w:r>
    </w:p>
    <w:p>
      <w:pPr>
        <w:pStyle w:val="Normal"/>
        <w:rPr>
          <w:rFonts w:ascii="Times New Roman" w:hAnsi="Times New Roman" w:cs="Times New Roman"/>
          <w:sz w:val="24"/>
          <w:szCs w:val="24"/>
        </w:rPr>
      </w:pPr>
      <w:r>
        <w:rPr>
          <w:rFonts w:cs="Times New Roman" w:ascii="Times New Roman" w:hAnsi="Times New Roman"/>
          <w:sz w:val="24"/>
          <w:szCs w:val="24"/>
        </w:rPr>
        <w:t>luer le résultat produit par des adduits (radicaux</w:t>
      </w:r>
    </w:p>
    <w:p>
      <w:pPr>
        <w:pStyle w:val="Normal"/>
        <w:rPr>
          <w:rFonts w:ascii="Times New Roman" w:hAnsi="Times New Roman" w:cs="Times New Roman"/>
          <w:sz w:val="24"/>
          <w:szCs w:val="24"/>
        </w:rPr>
      </w:pPr>
      <w:r>
        <w:rPr>
          <w:rFonts w:cs="Times New Roman" w:ascii="Times New Roman" w:hAnsi="Times New Roman"/>
          <w:sz w:val="24"/>
          <w:szCs w:val="24"/>
        </w:rPr>
        <w:t>greffés sur la molécule d’ADN) générés par une</w:t>
      </w:r>
    </w:p>
    <w:p>
      <w:pPr>
        <w:pStyle w:val="Normal"/>
        <w:rPr>
          <w:rFonts w:ascii="Times New Roman" w:hAnsi="Times New Roman" w:cs="Times New Roman"/>
          <w:sz w:val="24"/>
          <w:szCs w:val="24"/>
        </w:rPr>
      </w:pPr>
      <w:r>
        <w:rPr>
          <w:rFonts w:cs="Times New Roman" w:ascii="Times New Roman" w:hAnsi="Times New Roman"/>
          <w:sz w:val="24"/>
          <w:szCs w:val="24"/>
        </w:rPr>
        <w:t>exposition à des agents cancérogènes.</w:t>
      </w:r>
    </w:p>
    <w:p>
      <w:pPr>
        <w:pStyle w:val="Normal"/>
        <w:rPr>
          <w:rFonts w:ascii="Times New Roman" w:hAnsi="Times New Roman" w:cs="Times New Roman"/>
          <w:sz w:val="24"/>
          <w:szCs w:val="24"/>
        </w:rPr>
      </w:pPr>
      <w:r>
        <w:rPr>
          <w:rFonts w:cs="Times New Roman" w:ascii="Times New Roman" w:hAnsi="Times New Roman"/>
          <w:sz w:val="24"/>
          <w:szCs w:val="24"/>
        </w:rPr>
        <w:t>- enfin, 90% des mutations identifiées sont</w:t>
      </w:r>
    </w:p>
    <w:p>
      <w:pPr>
        <w:pStyle w:val="Normal"/>
        <w:rPr>
          <w:rFonts w:ascii="Times New Roman" w:hAnsi="Times New Roman" w:cs="Times New Roman"/>
          <w:sz w:val="24"/>
          <w:szCs w:val="24"/>
        </w:rPr>
      </w:pPr>
      <w:r>
        <w:rPr>
          <w:rFonts w:cs="Times New Roman" w:ascii="Times New Roman" w:hAnsi="Times New Roman"/>
          <w:sz w:val="24"/>
          <w:szCs w:val="24"/>
        </w:rPr>
        <w:t>regroupées dans 5 exons, à une petite partie de</w:t>
      </w:r>
    </w:p>
    <w:p>
      <w:pPr>
        <w:pStyle w:val="Normal"/>
        <w:rPr>
          <w:rFonts w:ascii="Times New Roman" w:hAnsi="Times New Roman" w:cs="Times New Roman"/>
          <w:sz w:val="24"/>
          <w:szCs w:val="24"/>
        </w:rPr>
      </w:pPr>
      <w:r>
        <w:rPr>
          <w:rFonts w:cs="Times New Roman" w:ascii="Times New Roman" w:hAnsi="Times New Roman"/>
          <w:sz w:val="24"/>
          <w:szCs w:val="24"/>
        </w:rPr>
        <w:t>la molécule.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01845" cy="3000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01845" cy="3000375"/>
                    </a:xfrm>
                    <a:prstGeom prst="rect">
                      <a:avLst/>
                    </a:prstGeom>
                  </pic:spPr>
                </pic:pic>
              </a:graphicData>
            </a:graphic>
          </wp:anchor>
        </w:drawing>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0"/>
          <w:szCs w:val="20"/>
        </w:rPr>
        <w:t>Figure 5 : Représentation schématique de l’organisation fonctionnelle de la protéine p53. Abréviations : E : Exon ; en chiffres romains, les différents domaines de la protéine p53 ; les chiffres arabes correspondent aux numéros des codons. L’exon 1 et la partie initiale du codon 2 ne sont pas codants. Sous la protéine, sont représentés les sites de reconnaissance et d’interaction ( ) ainsi, TBP : TATA bin- ding protein ; mdm-2 : murine double minute-2 ; E1b : protéine E1b de l’adénovirus 5 ; E6 : protéine E6 du Papillomavirus ; SV40 Tag : antigène T du virus SV40 ; NLS : Signal de localisation nucléaire</w:t>
      </w:r>
      <w:r>
        <w:rPr>
          <w:rFonts w:cs="Times New Roman" w:ascii="Times New Roman" w:hAnsi="Times New Roman"/>
          <w:sz w:val="24"/>
          <w:szCs w:val="24"/>
        </w:rPr>
        <w:t>.</w:t>
      </w:r>
    </w:p>
    <w:p>
      <w:pPr>
        <w:pStyle w:val="Normal"/>
        <w:rPr/>
      </w:pPr>
      <w:r>
        <w:rPr>
          <w:rFonts w:cs="Times New Roman" w:ascii="Times New Roman" w:hAnsi="Times New Roman"/>
          <w:sz w:val="20"/>
          <w:szCs w:val="20"/>
        </w:rPr>
        <w:t>Tableau 3 : Structure du gène p53 (les positions des bases font référence au séquençage complet de PM. Chumakov (GenBank accession n° X54156, [42]).</w:t>
      </w:r>
    </w:p>
    <w:p>
      <w:pPr>
        <w:pStyle w:val="Normal"/>
        <w:rPr>
          <w:rFonts w:ascii="Times New Roman" w:hAnsi="Times New Roman" w:cs="Times New Roman"/>
          <w:sz w:val="24"/>
          <w:szCs w:val="24"/>
        </w:rPr>
      </w:pPr>
      <w:r>
        <w:rPr/>
        <w:drawing>
          <wp:anchor behindDoc="0" distT="0" distB="0" distL="0" distR="0" simplePos="0" locked="0" layoutInCell="0" allowOverlap="1" relativeHeight="3">
            <wp:simplePos x="0" y="0"/>
            <wp:positionH relativeFrom="column">
              <wp:posOffset>-122555</wp:posOffset>
            </wp:positionH>
            <wp:positionV relativeFrom="paragraph">
              <wp:posOffset>78740</wp:posOffset>
            </wp:positionV>
            <wp:extent cx="5760720" cy="1040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104013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t>En effet, la protéine p53 issue du gène</w:t>
      </w:r>
    </w:p>
    <w:p>
      <w:pPr>
        <w:pStyle w:val="Normal"/>
        <w:rPr>
          <w:rFonts w:ascii="Times New Roman" w:hAnsi="Times New Roman" w:cs="Times New Roman"/>
          <w:sz w:val="24"/>
          <w:szCs w:val="24"/>
        </w:rPr>
      </w:pPr>
      <w:r>
        <w:rPr>
          <w:rFonts w:cs="Times New Roman" w:ascii="Times New Roman" w:hAnsi="Times New Roman"/>
          <w:sz w:val="24"/>
          <w:szCs w:val="24"/>
        </w:rPr>
        <w:t>muté adopte une conformation qui lui confère une</w:t>
      </w:r>
    </w:p>
    <w:p>
      <w:pPr>
        <w:pStyle w:val="Normal"/>
        <w:rPr>
          <w:rFonts w:ascii="Times New Roman" w:hAnsi="Times New Roman" w:cs="Times New Roman"/>
          <w:sz w:val="24"/>
          <w:szCs w:val="24"/>
        </w:rPr>
      </w:pPr>
      <w:r>
        <w:rPr>
          <w:rFonts w:cs="Times New Roman" w:ascii="Times New Roman" w:hAnsi="Times New Roman"/>
          <w:sz w:val="24"/>
          <w:szCs w:val="24"/>
        </w:rPr>
        <w:t>demi-vie beaucoup plus longue que la protéine</w:t>
      </w:r>
    </w:p>
    <w:p>
      <w:pPr>
        <w:pStyle w:val="Normal"/>
        <w:rPr>
          <w:rFonts w:ascii="Times New Roman" w:hAnsi="Times New Roman" w:cs="Times New Roman"/>
          <w:sz w:val="24"/>
          <w:szCs w:val="24"/>
        </w:rPr>
      </w:pPr>
      <w:r>
        <w:rPr>
          <w:rFonts w:cs="Times New Roman" w:ascii="Times New Roman" w:hAnsi="Times New Roman"/>
          <w:sz w:val="24"/>
          <w:szCs w:val="24"/>
        </w:rPr>
        <w:t>issue du type sauvage de p53 (3 à 6 heures ver-</w:t>
      </w:r>
    </w:p>
    <w:p>
      <w:pPr>
        <w:pStyle w:val="Normal"/>
        <w:rPr>
          <w:rFonts w:ascii="Times New Roman" w:hAnsi="Times New Roman" w:cs="Times New Roman"/>
          <w:sz w:val="24"/>
          <w:szCs w:val="24"/>
        </w:rPr>
      </w:pPr>
      <w:r>
        <w:rPr>
          <w:rFonts w:cs="Times New Roman" w:ascii="Times New Roman" w:hAnsi="Times New Roman"/>
          <w:sz w:val="24"/>
          <w:szCs w:val="24"/>
        </w:rPr>
        <w:t>sus 20 mn pour la protéine normale). On peut tou-</w:t>
      </w:r>
    </w:p>
    <w:p>
      <w:pPr>
        <w:pStyle w:val="Normal"/>
        <w:rPr>
          <w:rFonts w:ascii="Times New Roman" w:hAnsi="Times New Roman" w:cs="Times New Roman"/>
          <w:sz w:val="24"/>
          <w:szCs w:val="24"/>
        </w:rPr>
      </w:pPr>
      <w:r>
        <w:rPr>
          <w:rFonts w:cs="Times New Roman" w:ascii="Times New Roman" w:hAnsi="Times New Roman"/>
          <w:sz w:val="24"/>
          <w:szCs w:val="24"/>
        </w:rPr>
        <w:t>tefois observer une surexpression sans mutation</w:t>
      </w:r>
    </w:p>
    <w:p>
      <w:pPr>
        <w:pStyle w:val="Normal"/>
        <w:rPr>
          <w:rFonts w:ascii="Times New Roman" w:hAnsi="Times New Roman" w:cs="Times New Roman"/>
          <w:sz w:val="24"/>
          <w:szCs w:val="24"/>
        </w:rPr>
      </w:pPr>
      <w:r>
        <w:rPr>
          <w:rFonts w:cs="Times New Roman" w:ascii="Times New Roman" w:hAnsi="Times New Roman"/>
          <w:sz w:val="24"/>
          <w:szCs w:val="24"/>
        </w:rPr>
        <w:t>(par exemple, par la surexpression de la protéine</w:t>
      </w:r>
    </w:p>
    <w:p>
      <w:pPr>
        <w:pStyle w:val="Normal"/>
        <w:rPr>
          <w:rFonts w:ascii="Times New Roman" w:hAnsi="Times New Roman" w:cs="Times New Roman"/>
          <w:sz w:val="24"/>
          <w:szCs w:val="24"/>
        </w:rPr>
      </w:pPr>
      <w:r>
        <w:rPr>
          <w:rFonts w:cs="Times New Roman" w:ascii="Times New Roman" w:hAnsi="Times New Roman"/>
          <w:sz w:val="24"/>
          <w:szCs w:val="24"/>
        </w:rPr>
        <w:t>de liaison mdm-2) ou, à l’inverse, l’absence de</w:t>
      </w:r>
    </w:p>
    <w:p>
      <w:pPr>
        <w:pStyle w:val="Normal"/>
        <w:rPr>
          <w:rFonts w:ascii="Times New Roman" w:hAnsi="Times New Roman" w:cs="Times New Roman"/>
          <w:sz w:val="24"/>
          <w:szCs w:val="24"/>
        </w:rPr>
      </w:pPr>
      <w:r>
        <w:rPr>
          <w:rFonts w:cs="Times New Roman" w:ascii="Times New Roman" w:hAnsi="Times New Roman"/>
          <w:sz w:val="24"/>
          <w:szCs w:val="24"/>
        </w:rPr>
        <w:t>surexpression en cas de mutation (par exemple, sielle-ci intéresse le domaine de liaison à l’ADN (2,</w:t>
      </w:r>
    </w:p>
    <w:p>
      <w:pPr>
        <w:pStyle w:val="Normal"/>
        <w:rPr>
          <w:rFonts w:ascii="Times New Roman" w:hAnsi="Times New Roman" w:cs="Times New Roman"/>
          <w:sz w:val="24"/>
          <w:szCs w:val="24"/>
        </w:rPr>
      </w:pPr>
      <w:r>
        <w:rPr>
          <w:rFonts w:cs="Times New Roman" w:ascii="Times New Roman" w:hAnsi="Times New Roman"/>
          <w:sz w:val="24"/>
          <w:szCs w:val="24"/>
        </w:rPr>
        <w:t>3). Toutefois, on peut estimer que dans plus d’un</w:t>
      </w:r>
    </w:p>
    <w:p>
      <w:pPr>
        <w:pStyle w:val="Normal"/>
        <w:rPr>
          <w:rFonts w:ascii="Times New Roman" w:hAnsi="Times New Roman" w:cs="Times New Roman"/>
          <w:sz w:val="24"/>
          <w:szCs w:val="24"/>
        </w:rPr>
      </w:pPr>
      <w:r>
        <w:rPr>
          <w:rFonts w:cs="Times New Roman" w:ascii="Times New Roman" w:hAnsi="Times New Roman"/>
          <w:sz w:val="24"/>
          <w:szCs w:val="24"/>
        </w:rPr>
        <w:t>cas sur deux (70%) une surexpression de p53 est</w:t>
      </w:r>
    </w:p>
    <w:p>
      <w:pPr>
        <w:pStyle w:val="Normal"/>
        <w:rPr>
          <w:rFonts w:ascii="Times New Roman" w:hAnsi="Times New Roman" w:cs="Times New Roman"/>
          <w:sz w:val="24"/>
          <w:szCs w:val="24"/>
        </w:rPr>
      </w:pPr>
      <w:r>
        <w:rPr>
          <w:rFonts w:cs="Times New Roman" w:ascii="Times New Roman" w:hAnsi="Times New Roman"/>
          <w:sz w:val="24"/>
          <w:szCs w:val="24"/>
        </w:rPr>
        <w:t>associée à une mutation du gène p53.</w:t>
      </w:r>
    </w:p>
    <w:p>
      <w:pPr>
        <w:pStyle w:val="Normal"/>
        <w:rPr>
          <w:rFonts w:ascii="Times New Roman" w:hAnsi="Times New Roman" w:cs="Times New Roman"/>
          <w:sz w:val="24"/>
          <w:szCs w:val="24"/>
        </w:rPr>
      </w:pPr>
      <w:r>
        <w:rPr>
          <w:rFonts w:cs="Times New Roman" w:ascii="Times New Roman" w:hAnsi="Times New Roman"/>
          <w:sz w:val="24"/>
          <w:szCs w:val="24"/>
        </w:rPr>
        <w:t>Dans le cas de mutation de p53, il est également</w:t>
      </w:r>
    </w:p>
    <w:p>
      <w:pPr>
        <w:pStyle w:val="Normal"/>
        <w:rPr>
          <w:rFonts w:ascii="Times New Roman" w:hAnsi="Times New Roman" w:cs="Times New Roman"/>
          <w:sz w:val="24"/>
          <w:szCs w:val="24"/>
        </w:rPr>
      </w:pPr>
      <w:r>
        <w:rPr>
          <w:rFonts w:cs="Times New Roman" w:ascii="Times New Roman" w:hAnsi="Times New Roman"/>
          <w:sz w:val="24"/>
          <w:szCs w:val="24"/>
        </w:rPr>
        <w:t>possible de mettre en évidence dans le sérum des</w:t>
      </w:r>
    </w:p>
    <w:p>
      <w:pPr>
        <w:pStyle w:val="Normal"/>
        <w:rPr>
          <w:rFonts w:ascii="Times New Roman" w:hAnsi="Times New Roman" w:cs="Times New Roman"/>
          <w:sz w:val="24"/>
          <w:szCs w:val="24"/>
        </w:rPr>
      </w:pPr>
      <w:r>
        <w:rPr>
          <w:rFonts w:cs="Times New Roman" w:ascii="Times New Roman" w:hAnsi="Times New Roman"/>
          <w:sz w:val="24"/>
          <w:szCs w:val="24"/>
        </w:rPr>
        <w:t>auto-anticorps anti-p53 en utilisant un test immu-</w:t>
      </w:r>
    </w:p>
    <w:p>
      <w:pPr>
        <w:pStyle w:val="Normal"/>
        <w:rPr>
          <w:rFonts w:ascii="Times New Roman" w:hAnsi="Times New Roman" w:cs="Times New Roman"/>
          <w:sz w:val="24"/>
          <w:szCs w:val="24"/>
        </w:rPr>
      </w:pPr>
      <w:r>
        <w:rPr>
          <w:rFonts w:cs="Times New Roman" w:ascii="Times New Roman" w:hAnsi="Times New Roman"/>
          <w:sz w:val="24"/>
          <w:szCs w:val="24"/>
        </w:rPr>
        <w:t>no-enzymatique (ELISA, pour Enzyme-Linked</w:t>
      </w:r>
    </w:p>
    <w:p>
      <w:pPr>
        <w:pStyle w:val="Normal"/>
        <w:rPr>
          <w:rFonts w:ascii="Times New Roman" w:hAnsi="Times New Roman" w:cs="Times New Roman"/>
          <w:sz w:val="24"/>
          <w:szCs w:val="24"/>
        </w:rPr>
      </w:pPr>
      <w:r>
        <w:rPr>
          <w:rFonts w:cs="Times New Roman" w:ascii="Times New Roman" w:hAnsi="Times New Roman"/>
          <w:sz w:val="24"/>
          <w:szCs w:val="24"/>
        </w:rPr>
        <w:t>Immunosorbent Assay). Par ailleurs, le test fonctionnel à la levure réalise</w:t>
      </w:r>
    </w:p>
    <w:p>
      <w:pPr>
        <w:pStyle w:val="Normal"/>
        <w:rPr>
          <w:rFonts w:ascii="Times New Roman" w:hAnsi="Times New Roman" w:cs="Times New Roman"/>
          <w:sz w:val="24"/>
          <w:szCs w:val="24"/>
        </w:rPr>
      </w:pPr>
      <w:r>
        <w:rPr>
          <w:rFonts w:cs="Times New Roman" w:ascii="Times New Roman" w:hAnsi="Times New Roman"/>
          <w:sz w:val="24"/>
          <w:szCs w:val="24"/>
        </w:rPr>
        <w:t>une approche indirecte tout à fait intéressante : ce</w:t>
      </w:r>
    </w:p>
    <w:p>
      <w:pPr>
        <w:pStyle w:val="Normal"/>
        <w:rPr>
          <w:rFonts w:ascii="Times New Roman" w:hAnsi="Times New Roman" w:cs="Times New Roman"/>
          <w:sz w:val="24"/>
          <w:szCs w:val="24"/>
        </w:rPr>
      </w:pPr>
      <w:r>
        <w:rPr>
          <w:rFonts w:cs="Times New Roman" w:ascii="Times New Roman" w:hAnsi="Times New Roman"/>
          <w:sz w:val="24"/>
          <w:szCs w:val="24"/>
        </w:rPr>
        <w:t>test utilise une levure (Saccharomyces Cerevi-</w:t>
      </w:r>
    </w:p>
    <w:p>
      <w:pPr>
        <w:pStyle w:val="Normal"/>
        <w:rPr>
          <w:rFonts w:ascii="Times New Roman" w:hAnsi="Times New Roman" w:cs="Times New Roman"/>
          <w:sz w:val="24"/>
          <w:szCs w:val="24"/>
        </w:rPr>
      </w:pPr>
      <w:r>
        <w:rPr>
          <w:rFonts w:cs="Times New Roman" w:ascii="Times New Roman" w:hAnsi="Times New Roman"/>
          <w:sz w:val="24"/>
          <w:szCs w:val="24"/>
        </w:rPr>
        <w:t>siae) mutante car déficiente pour le métabolisme</w:t>
      </w:r>
    </w:p>
    <w:p>
      <w:pPr>
        <w:pStyle w:val="Normal"/>
        <w:rPr>
          <w:rFonts w:ascii="Times New Roman" w:hAnsi="Times New Roman" w:cs="Times New Roman"/>
          <w:sz w:val="24"/>
          <w:szCs w:val="24"/>
        </w:rPr>
      </w:pPr>
      <w:r>
        <w:rPr>
          <w:rFonts w:cs="Times New Roman" w:ascii="Times New Roman" w:hAnsi="Times New Roman"/>
          <w:sz w:val="24"/>
          <w:szCs w:val="24"/>
        </w:rPr>
        <w:t>de l’adénine (ade-), ce qui lui confère une colora-</w:t>
      </w:r>
    </w:p>
    <w:p>
      <w:pPr>
        <w:pStyle w:val="Normal"/>
        <w:rPr>
          <w:rFonts w:ascii="Times New Roman" w:hAnsi="Times New Roman" w:cs="Times New Roman"/>
          <w:sz w:val="24"/>
          <w:szCs w:val="24"/>
        </w:rPr>
      </w:pPr>
      <w:r>
        <w:rPr>
          <w:rFonts w:cs="Times New Roman" w:ascii="Times New Roman" w:hAnsi="Times New Roman"/>
          <w:sz w:val="24"/>
          <w:szCs w:val="24"/>
        </w:rPr>
        <w:t>tion rouge par accumulation d’un métabolite. L’in-</w:t>
      </w:r>
    </w:p>
    <w:p>
      <w:pPr>
        <w:pStyle w:val="Normal"/>
        <w:rPr>
          <w:rFonts w:ascii="Times New Roman" w:hAnsi="Times New Roman" w:cs="Times New Roman"/>
          <w:sz w:val="24"/>
          <w:szCs w:val="24"/>
        </w:rPr>
      </w:pPr>
      <w:r>
        <w:rPr>
          <w:rFonts w:cs="Times New Roman" w:ascii="Times New Roman" w:hAnsi="Times New Roman"/>
          <w:sz w:val="24"/>
          <w:szCs w:val="24"/>
        </w:rPr>
        <w:t>troduction de la protéine p53 native restaure le</w:t>
      </w:r>
    </w:p>
    <w:p>
      <w:pPr>
        <w:pStyle w:val="Normal"/>
        <w:rPr>
          <w:rFonts w:ascii="Times New Roman" w:hAnsi="Times New Roman" w:cs="Times New Roman"/>
          <w:sz w:val="24"/>
          <w:szCs w:val="24"/>
        </w:rPr>
      </w:pPr>
      <w:r>
        <w:rPr>
          <w:rFonts w:cs="Times New Roman" w:ascii="Times New Roman" w:hAnsi="Times New Roman"/>
          <w:sz w:val="24"/>
          <w:szCs w:val="24"/>
        </w:rPr>
        <w:t>phénotype ade+ et conduit à la coloration blan-</w:t>
      </w:r>
    </w:p>
    <w:p>
      <w:pPr>
        <w:pStyle w:val="Normal"/>
        <w:rPr>
          <w:rFonts w:ascii="Times New Roman" w:hAnsi="Times New Roman" w:cs="Times New Roman"/>
          <w:sz w:val="24"/>
          <w:szCs w:val="24"/>
        </w:rPr>
      </w:pPr>
      <w:r>
        <w:rPr>
          <w:rFonts w:cs="Times New Roman" w:ascii="Times New Roman" w:hAnsi="Times New Roman"/>
          <w:sz w:val="24"/>
          <w:szCs w:val="24"/>
        </w:rPr>
        <w:t>che, indiquant ainsi que la p53 introduite est fonc-</w:t>
      </w:r>
    </w:p>
    <w:p>
      <w:pPr>
        <w:pStyle w:val="Normal"/>
        <w:rPr>
          <w:rFonts w:ascii="Times New Roman" w:hAnsi="Times New Roman" w:cs="Times New Roman"/>
          <w:sz w:val="24"/>
          <w:szCs w:val="24"/>
        </w:rPr>
      </w:pPr>
      <w:r>
        <w:rPr>
          <w:rFonts w:cs="Times New Roman" w:ascii="Times New Roman" w:hAnsi="Times New Roman"/>
          <w:sz w:val="24"/>
          <w:szCs w:val="24"/>
        </w:rPr>
        <w:t>tionnelle. L’introduction d’une p53 issue du gène</w:t>
      </w:r>
    </w:p>
    <w:p>
      <w:pPr>
        <w:pStyle w:val="Normal"/>
        <w:rPr>
          <w:rFonts w:ascii="Times New Roman" w:hAnsi="Times New Roman" w:cs="Times New Roman"/>
          <w:sz w:val="24"/>
          <w:szCs w:val="24"/>
        </w:rPr>
      </w:pPr>
      <w:r>
        <w:rPr>
          <w:rFonts w:cs="Times New Roman" w:ascii="Times New Roman" w:hAnsi="Times New Roman"/>
          <w:sz w:val="24"/>
          <w:szCs w:val="24"/>
        </w:rPr>
        <w:t>p53 muté ne permettant pas l’activation du gène</w:t>
      </w:r>
    </w:p>
    <w:p>
      <w:pPr>
        <w:pStyle w:val="Normal"/>
        <w:rPr>
          <w:rFonts w:ascii="Times New Roman" w:hAnsi="Times New Roman" w:cs="Times New Roman"/>
          <w:sz w:val="24"/>
          <w:szCs w:val="24"/>
        </w:rPr>
      </w:pPr>
      <w:r>
        <w:rPr>
          <w:rFonts w:cs="Times New Roman" w:ascii="Times New Roman" w:hAnsi="Times New Roman"/>
          <w:sz w:val="24"/>
          <w:szCs w:val="24"/>
        </w:rPr>
        <w:t>ade, la levure restera rouge.</w:t>
      </w:r>
    </w:p>
    <w:p>
      <w:pPr>
        <w:pStyle w:val="Normal"/>
        <w:rPr>
          <w:rFonts w:ascii="Times New Roman" w:hAnsi="Times New Roman" w:cs="Times New Roman"/>
          <w:sz w:val="24"/>
          <w:szCs w:val="24"/>
        </w:rPr>
      </w:pPr>
      <w:r>
        <w:rPr>
          <w:rFonts w:cs="Times New Roman" w:ascii="Times New Roman" w:hAnsi="Times New Roman"/>
          <w:sz w:val="24"/>
          <w:szCs w:val="24"/>
        </w:rPr>
        <w:t>Anomalies de p53 et cancer de la vessie</w:t>
      </w:r>
    </w:p>
    <w:p>
      <w:pPr>
        <w:pStyle w:val="Normal"/>
        <w:rPr>
          <w:rFonts w:ascii="Times New Roman" w:hAnsi="Times New Roman" w:cs="Times New Roman"/>
          <w:sz w:val="24"/>
          <w:szCs w:val="24"/>
        </w:rPr>
      </w:pPr>
      <w:r>
        <w:rPr>
          <w:rFonts w:cs="Times New Roman" w:ascii="Times New Roman" w:hAnsi="Times New Roman"/>
          <w:sz w:val="24"/>
          <w:szCs w:val="24"/>
        </w:rPr>
        <w:t>Les premières études concernant p53 ont montré</w:t>
      </w:r>
    </w:p>
    <w:p>
      <w:pPr>
        <w:pStyle w:val="Normal"/>
        <w:rPr>
          <w:rFonts w:ascii="Times New Roman" w:hAnsi="Times New Roman" w:cs="Times New Roman"/>
          <w:sz w:val="24"/>
          <w:szCs w:val="24"/>
        </w:rPr>
      </w:pPr>
      <w:r>
        <w:rPr>
          <w:rFonts w:cs="Times New Roman" w:ascii="Times New Roman" w:hAnsi="Times New Roman"/>
          <w:sz w:val="24"/>
          <w:szCs w:val="24"/>
        </w:rPr>
        <w:t>la fréquence des anomalies de ce gène dans le</w:t>
      </w:r>
    </w:p>
    <w:p>
      <w:pPr>
        <w:pStyle w:val="Normal"/>
        <w:rPr>
          <w:rFonts w:ascii="Times New Roman" w:hAnsi="Times New Roman" w:cs="Times New Roman"/>
          <w:sz w:val="24"/>
          <w:szCs w:val="24"/>
        </w:rPr>
      </w:pPr>
      <w:r>
        <w:rPr>
          <w:rFonts w:cs="Times New Roman" w:ascii="Times New Roman" w:hAnsi="Times New Roman"/>
          <w:sz w:val="24"/>
          <w:szCs w:val="24"/>
        </w:rPr>
        <w:t>cadre du cancer vésical.</w:t>
      </w:r>
    </w:p>
    <w:p>
      <w:pPr>
        <w:pStyle w:val="Normal"/>
        <w:rPr>
          <w:rFonts w:ascii="Times New Roman" w:hAnsi="Times New Roman" w:cs="Times New Roman"/>
          <w:sz w:val="24"/>
          <w:szCs w:val="24"/>
        </w:rPr>
      </w:pPr>
      <w:r>
        <w:rPr>
          <w:rFonts w:cs="Times New Roman" w:ascii="Times New Roman" w:hAnsi="Times New Roman"/>
          <w:sz w:val="24"/>
          <w:szCs w:val="24"/>
        </w:rPr>
        <w:t>Les anomalies du gène p53 ont été abordées par</w:t>
      </w:r>
    </w:p>
    <w:p>
      <w:pPr>
        <w:pStyle w:val="Normal"/>
        <w:rPr>
          <w:rFonts w:ascii="Times New Roman" w:hAnsi="Times New Roman" w:cs="Times New Roman"/>
          <w:sz w:val="24"/>
          <w:szCs w:val="24"/>
        </w:rPr>
      </w:pPr>
      <w:r>
        <w:rPr>
          <w:rFonts w:cs="Times New Roman" w:ascii="Times New Roman" w:hAnsi="Times New Roman"/>
          <w:sz w:val="24"/>
          <w:szCs w:val="24"/>
        </w:rPr>
        <w:t>des techniques de biologie moléculaire, d’immu-</w:t>
      </w:r>
    </w:p>
    <w:p>
      <w:pPr>
        <w:pStyle w:val="Normal"/>
        <w:rPr>
          <w:rFonts w:ascii="Times New Roman" w:hAnsi="Times New Roman" w:cs="Times New Roman"/>
          <w:sz w:val="24"/>
          <w:szCs w:val="24"/>
        </w:rPr>
      </w:pPr>
      <w:r>
        <w:rPr>
          <w:rFonts w:cs="Times New Roman" w:ascii="Times New Roman" w:hAnsi="Times New Roman"/>
          <w:sz w:val="24"/>
          <w:szCs w:val="24"/>
        </w:rPr>
        <w:t>nohistochimie et de sérologie. Ces anomalies</w:t>
      </w:r>
    </w:p>
    <w:p>
      <w:pPr>
        <w:pStyle w:val="Normal"/>
        <w:rPr>
          <w:rFonts w:ascii="Times New Roman" w:hAnsi="Times New Roman" w:cs="Times New Roman"/>
          <w:sz w:val="24"/>
          <w:szCs w:val="24"/>
        </w:rPr>
      </w:pPr>
      <w:r>
        <w:rPr>
          <w:rFonts w:cs="Times New Roman" w:ascii="Times New Roman" w:hAnsi="Times New Roman"/>
          <w:sz w:val="24"/>
          <w:szCs w:val="24"/>
        </w:rPr>
        <w:t>génétiques ont été étudiées principalement par</w:t>
      </w:r>
    </w:p>
    <w:p>
      <w:pPr>
        <w:pStyle w:val="Normal"/>
        <w:rPr>
          <w:rFonts w:ascii="Times New Roman" w:hAnsi="Times New Roman" w:cs="Times New Roman"/>
          <w:sz w:val="24"/>
          <w:szCs w:val="24"/>
        </w:rPr>
      </w:pPr>
      <w:r>
        <w:rPr>
          <w:rFonts w:cs="Times New Roman" w:ascii="Times New Roman" w:hAnsi="Times New Roman"/>
          <w:sz w:val="24"/>
          <w:szCs w:val="24"/>
        </w:rPr>
        <w:t>SSCP et analyse de séquence. Dans le cas du</w:t>
      </w:r>
    </w:p>
    <w:p>
      <w:pPr>
        <w:pStyle w:val="Normal"/>
        <w:rPr>
          <w:rFonts w:ascii="Times New Roman" w:hAnsi="Times New Roman" w:cs="Times New Roman"/>
          <w:sz w:val="24"/>
          <w:szCs w:val="24"/>
        </w:rPr>
      </w:pPr>
      <w:r>
        <w:rPr>
          <w:rFonts w:cs="Times New Roman" w:ascii="Times New Roman" w:hAnsi="Times New Roman"/>
          <w:sz w:val="24"/>
          <w:szCs w:val="24"/>
        </w:rPr>
        <w:t>cancer de la vessie comme dans d’autres</w:t>
      </w:r>
    </w:p>
    <w:p>
      <w:pPr>
        <w:pStyle w:val="Normal"/>
        <w:rPr>
          <w:rFonts w:ascii="Times New Roman" w:hAnsi="Times New Roman" w:cs="Times New Roman"/>
          <w:sz w:val="24"/>
          <w:szCs w:val="24"/>
        </w:rPr>
      </w:pPr>
      <w:r>
        <w:rPr>
          <w:rFonts w:cs="Times New Roman" w:ascii="Times New Roman" w:hAnsi="Times New Roman"/>
          <w:sz w:val="24"/>
          <w:szCs w:val="24"/>
        </w:rPr>
        <w:t>tumeurs solides, les mutations sont surtout obser-</w:t>
      </w:r>
    </w:p>
    <w:p>
      <w:pPr>
        <w:pStyle w:val="Normal"/>
        <w:rPr>
          <w:rFonts w:ascii="Times New Roman" w:hAnsi="Times New Roman" w:cs="Times New Roman"/>
          <w:sz w:val="24"/>
          <w:szCs w:val="24"/>
        </w:rPr>
      </w:pPr>
      <w:r>
        <w:rPr>
          <w:rFonts w:cs="Times New Roman" w:ascii="Times New Roman" w:hAnsi="Times New Roman"/>
          <w:sz w:val="24"/>
          <w:szCs w:val="24"/>
        </w:rPr>
        <w:t>vées dans les exons 5 à 8. Schématiquement, il</w:t>
      </w:r>
    </w:p>
    <w:p>
      <w:pPr>
        <w:pStyle w:val="Normal"/>
        <w:rPr>
          <w:rFonts w:ascii="Times New Roman" w:hAnsi="Times New Roman" w:cs="Times New Roman"/>
          <w:sz w:val="24"/>
          <w:szCs w:val="24"/>
        </w:rPr>
      </w:pPr>
      <w:r>
        <w:rPr>
          <w:rFonts w:cs="Times New Roman" w:ascii="Times New Roman" w:hAnsi="Times New Roman"/>
          <w:sz w:val="24"/>
          <w:szCs w:val="24"/>
        </w:rPr>
        <w:t>existe deux grands types de tumeurs vésicales</w:t>
      </w:r>
    </w:p>
    <w:p>
      <w:pPr>
        <w:pStyle w:val="Normal"/>
        <w:rPr>
          <w:rFonts w:ascii="Times New Roman" w:hAnsi="Times New Roman" w:cs="Times New Roman"/>
          <w:sz w:val="24"/>
          <w:szCs w:val="24"/>
        </w:rPr>
      </w:pPr>
      <w:r>
        <w:rPr>
          <w:rFonts w:cs="Times New Roman" w:ascii="Times New Roman" w:hAnsi="Times New Roman"/>
          <w:sz w:val="24"/>
          <w:szCs w:val="24"/>
        </w:rPr>
        <w:t>quant à leur contexte étiologique : les tumeurs</w:t>
      </w:r>
    </w:p>
    <w:p>
      <w:pPr>
        <w:pStyle w:val="Normal"/>
        <w:rPr>
          <w:rFonts w:ascii="Times New Roman" w:hAnsi="Times New Roman" w:cs="Times New Roman"/>
          <w:sz w:val="24"/>
          <w:szCs w:val="24"/>
        </w:rPr>
      </w:pPr>
      <w:r>
        <w:rPr>
          <w:rFonts w:cs="Times New Roman" w:ascii="Times New Roman" w:hAnsi="Times New Roman"/>
          <w:sz w:val="24"/>
          <w:szCs w:val="24"/>
        </w:rPr>
        <w:t>urothéliales ou carcinomes à cellules transition-</w:t>
      </w:r>
    </w:p>
    <w:p>
      <w:pPr>
        <w:pStyle w:val="Normal"/>
        <w:rPr>
          <w:rFonts w:ascii="Times New Roman" w:hAnsi="Times New Roman" w:cs="Times New Roman"/>
          <w:sz w:val="24"/>
          <w:szCs w:val="24"/>
        </w:rPr>
      </w:pPr>
      <w:r>
        <w:rPr>
          <w:rFonts w:cs="Times New Roman" w:ascii="Times New Roman" w:hAnsi="Times New Roman"/>
          <w:sz w:val="24"/>
          <w:szCs w:val="24"/>
        </w:rPr>
        <w:t>nelles qui peuvent être induites par le tabac et les</w:t>
      </w:r>
    </w:p>
    <w:p>
      <w:pPr>
        <w:pStyle w:val="Normal"/>
        <w:rPr>
          <w:rFonts w:ascii="Times New Roman" w:hAnsi="Times New Roman" w:cs="Times New Roman"/>
          <w:sz w:val="24"/>
          <w:szCs w:val="24"/>
        </w:rPr>
      </w:pPr>
      <w:r>
        <w:rPr>
          <w:rFonts w:cs="Times New Roman" w:ascii="Times New Roman" w:hAnsi="Times New Roman"/>
          <w:sz w:val="24"/>
          <w:szCs w:val="24"/>
        </w:rPr>
        <w:t>carcinogènes, de l’environnement d’une part, et</w:t>
      </w:r>
    </w:p>
    <w:p>
      <w:pPr>
        <w:pStyle w:val="Normal"/>
        <w:rPr>
          <w:rFonts w:ascii="Times New Roman" w:hAnsi="Times New Roman" w:cs="Times New Roman"/>
          <w:sz w:val="24"/>
          <w:szCs w:val="24"/>
        </w:rPr>
      </w:pPr>
      <w:r>
        <w:rPr>
          <w:rFonts w:cs="Times New Roman" w:ascii="Times New Roman" w:hAnsi="Times New Roman"/>
          <w:sz w:val="24"/>
          <w:szCs w:val="24"/>
        </w:rPr>
        <w:t>les tumeurs épidermoïdes liées à l’infection de laes tumeurs épidermoïdes liées à l’infection de la</w:t>
      </w:r>
    </w:p>
    <w:p>
      <w:pPr>
        <w:pStyle w:val="Normal"/>
        <w:rPr>
          <w:rFonts w:ascii="Times New Roman" w:hAnsi="Times New Roman" w:cs="Times New Roman"/>
          <w:sz w:val="24"/>
          <w:szCs w:val="24"/>
        </w:rPr>
      </w:pPr>
      <w:r>
        <w:rPr>
          <w:rFonts w:cs="Times New Roman" w:ascii="Times New Roman" w:hAnsi="Times New Roman"/>
          <w:sz w:val="24"/>
          <w:szCs w:val="24"/>
        </w:rPr>
        <w:t>paroi vésicale par le schistosome En ce qui concerne les tumeurs urothéliales où</w:t>
      </w:r>
    </w:p>
    <w:p>
      <w:pPr>
        <w:pStyle w:val="Normal"/>
        <w:rPr>
          <w:rFonts w:ascii="Times New Roman" w:hAnsi="Times New Roman" w:cs="Times New Roman"/>
          <w:sz w:val="24"/>
          <w:szCs w:val="24"/>
        </w:rPr>
      </w:pPr>
      <w:r>
        <w:rPr>
          <w:rFonts w:cs="Times New Roman" w:ascii="Times New Roman" w:hAnsi="Times New Roman"/>
          <w:sz w:val="24"/>
          <w:szCs w:val="24"/>
        </w:rPr>
        <w:t>l’agression du matériel génétique est exogène, la</w:t>
      </w:r>
    </w:p>
    <w:p>
      <w:pPr>
        <w:pStyle w:val="Normal"/>
        <w:rPr>
          <w:rFonts w:ascii="Times New Roman" w:hAnsi="Times New Roman" w:cs="Times New Roman"/>
          <w:sz w:val="24"/>
          <w:szCs w:val="24"/>
        </w:rPr>
      </w:pPr>
      <w:r>
        <w:rPr>
          <w:rFonts w:cs="Times New Roman" w:ascii="Times New Roman" w:hAnsi="Times New Roman"/>
          <w:sz w:val="24"/>
          <w:szCs w:val="24"/>
        </w:rPr>
        <w:t>prévalence des mutations est de 34%.</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Importance biologique : Le gène p53 est souvent appelé le "gardien du génome" en raison de son rôle crucial dans la suppression des cellules cancéreuses. Il est fréquemment muté dans de nombreux types de cancer, ce qui en fait une cible d'intérêt majeure pour la recherche biomédicale.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 Disponibilité des données : Étant l'un des gènes les plus étudiés, de nombreuses bases de données publiques, telles que GenBank, le NCBI et l'Ensembl, fournissent un accès facile aux séquences et aux annotations du gène p53. Cela vous permettra d'accéder à une abondance de données pour votre analyse bio-informatique.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 Diversité des analyses possibles : Vous pouvez effectuer plusieurs types d'analyses bio-informatiques sur le gène p53, en fonction de vos intérêts et de vos compétences. Par exemple, vous pouvez réaliser une analyse de séquence pour identifier les régions conservées ou mutées, une analyse de structure pour prédire la structure tridimensionnelle de la protéine p53, ou une analyse de réseaux pour étudier les interactions protéine-protéine impliquant p53.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Pertinence scientifique : En travaillant sur le gène p53, vous serez en mesure de contribuer à un domaine de recherche actif et d'intérêt pour de nombreux scientifiques et bio-informaticiens. Votre travail pourrait potentiellement apporter de nouvelles informations sur la fonction et la régulation de p53, ainsi que sur son implication dans le cancer.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En résumé, en choisissant le gène p53 pour votre projet d'analyse bio-informatique, vous aurez la possibilité d'étudier un gène d'une grande importance biologique, avec un accès facile aux données et une diversité d'analyses possibles. Votre travail sur ce gène aura une pertinence scientifique et pourrait attirer l'attention des bio-informaticiens et des recruteurs.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Voici quelques exemples de ligands pertinents associés à la protéine p53 que vous pouvez trouver sur PubChem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Nutlin-3 : Identifiant PubChem CID 10474125</w:t>
      </w:r>
    </w:p>
    <w:p>
      <w:pPr>
        <w:pStyle w:val="Normal"/>
        <w:rPr>
          <w:rFonts w:ascii="Times New Roman" w:hAnsi="Times New Roman" w:cs="Times New Roman"/>
          <w:sz w:val="24"/>
          <w:szCs w:val="24"/>
        </w:rPr>
      </w:pPr>
      <w:r>
        <w:rPr>
          <w:rFonts w:cs="Times New Roman" w:ascii="Times New Roman" w:hAnsi="Times New Roman"/>
          <w:sz w:val="24"/>
          <w:szCs w:val="24"/>
        </w:rPr>
        <w:t>2. PRIMA-1 : Identifiant PubChem CID 16157054</w:t>
      </w:r>
    </w:p>
    <w:p>
      <w:pPr>
        <w:pStyle w:val="Normal"/>
        <w:rPr>
          <w:rFonts w:ascii="Times New Roman" w:hAnsi="Times New Roman" w:cs="Times New Roman"/>
          <w:sz w:val="24"/>
          <w:szCs w:val="24"/>
        </w:rPr>
      </w:pPr>
      <w:r>
        <w:rPr>
          <w:rFonts w:cs="Times New Roman" w:ascii="Times New Roman" w:hAnsi="Times New Roman"/>
          <w:sz w:val="24"/>
          <w:szCs w:val="24"/>
        </w:rPr>
        <w:t>3. RITA (Reactivating p53 and Inducing Tumor Apoptosis) : Identifiant PubChem CID 10205287</w:t>
      </w:r>
    </w:p>
    <w:p>
      <w:pPr>
        <w:pStyle w:val="Normal"/>
        <w:rPr>
          <w:rFonts w:ascii="Times New Roman" w:hAnsi="Times New Roman" w:cs="Times New Roman"/>
          <w:sz w:val="24"/>
          <w:szCs w:val="24"/>
        </w:rPr>
      </w:pPr>
      <w:r>
        <w:rPr>
          <w:rFonts w:cs="Times New Roman" w:ascii="Times New Roman" w:hAnsi="Times New Roman"/>
          <w:sz w:val="24"/>
          <w:szCs w:val="24"/>
        </w:rPr>
        <w:t>4. Pifithrin-alpha : Identifiant PubChem CID 1549203</w:t>
      </w:r>
    </w:p>
    <w:p>
      <w:pPr>
        <w:pStyle w:val="Normal"/>
        <w:rPr>
          <w:rFonts w:ascii="Times New Roman" w:hAnsi="Times New Roman" w:cs="Times New Roman"/>
          <w:sz w:val="24"/>
          <w:szCs w:val="24"/>
        </w:rPr>
      </w:pPr>
      <w:r>
        <w:rPr>
          <w:rFonts w:cs="Times New Roman" w:ascii="Times New Roman" w:hAnsi="Times New Roman"/>
          <w:sz w:val="24"/>
          <w:szCs w:val="24"/>
        </w:rPr>
        <w:t>5. CP-31398 : Identifiant PubChem CID 9871076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Ces ligands sont connus pour leur interaction avec la protéine p53 et ont été étudiés dans le contexte de la régulation de la fonction de p53 ou du développement de nouvelles thérapies ciblant p53. Vous pouvez consulter les pages individuelles de ces ligands sur PubChem pour obtenir plus d'informations sur leurs propriétés chimiques, leurs activités biologiques et leurs études associées.</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LibreOffice/7.3.7.2$Linux_X86_64 LibreOffice_project/30$Build-2</Application>
  <AppVersion>15.0000</AppVersion>
  <Pages>7</Pages>
  <Words>1661</Words>
  <Characters>8808</Characters>
  <CharactersWithSpaces>10351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2023-06-24T10:51:00Z</dcterms:created>
  <dc:creator>Serigne fallou Mbacké</dc:creator>
  <dc:description/>
  <dc:language>fr-FR</dc:language>
  <cp:lastModifiedBy/>
  <dcterms:modified xsi:type="dcterms:W3CDTF">2023-06-25T12:57:31Z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