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08C95"/>
          <w:sz w:val="28"/>
        </w:rPr>
        <w:t>CAHIER DES CHARGES</w:t>
      </w:r>
    </w:p>
    <w:p>
      <w:pPr>
        <w:spacing w:before="240"/>
        <w:jc w:val="center"/>
      </w:pPr>
      <w:r>
        <w:rPr>
          <w:rFonts w:ascii="Aptos Display" w:hAnsi="Aptos Display"/>
          <w:b/>
          <w:color w:val="17365D"/>
          <w:sz w:val="54"/>
        </w:rPr>
        <w:t>APPLICATION DE GESTION</w:t>
        <w:br/>
        <w:t>D’UNE SALLE DE SPORT</w:t>
      </w:r>
    </w:p>
    <w:p>
      <w:pPr>
        <w:spacing w:before="160"/>
        <w:jc w:val="center"/>
      </w:pPr>
      <w:r>
        <w:rPr>
          <w:color w:val="1F4E79"/>
          <w:sz w:val="30"/>
        </w:rPr>
        <w:t>Document de synthèse des deux versions</w:t>
      </w:r>
    </w:p>
    <w:p>
      <w:pPr>
        <w:spacing w:before="560"/>
        <w:jc w:val="center"/>
      </w:pPr>
      <w:r>
        <w:rPr>
          <w:b/>
          <w:color w:val="008C95"/>
          <w:sz w:val="22"/>
        </w:rPr>
        <w:t>Java 21  •  JavaFX 21  •  MVC  •  JDBC  •  MySQL</w:t>
      </w:r>
    </w:p>
    <w:p>
      <w:pPr>
        <w:spacing w:before="400"/>
        <w:jc w:val="center"/>
      </w:pPr>
      <w:r>
        <w:rPr>
          <w:b/>
        </w:rPr>
        <w:t>Réalisé par : Amsatou NDIAYE</w:t>
        <w:br/>
      </w:r>
      <w:r>
        <w:t>Version 1.0 — 15 octobre 2026</w:t>
        <w:br/>
      </w:r>
      <w:r>
        <w:t>Décision de cadrage : le schéma de la base de données existante est conservé à ce stade.</w:t>
      </w:r>
    </w:p>
    <w:p>
      <w:pPr>
        <w:spacing w:before="1800"/>
        <w:jc w:val="center"/>
      </w:pPr>
      <w:r>
        <w:rPr>
          <w:b/>
          <w:color w:val="5B6573"/>
          <w:sz w:val="20"/>
        </w:rPr>
        <w:t>RÉFÉRENTIEL UNIQUE POUR LA SUITE DU PROJET</w:t>
      </w:r>
    </w:p>
    <w:p>
      <w:r>
        <w:br w:type="page"/>
      </w:r>
    </w:p>
    <w:p>
      <w:pPr>
        <w:pStyle w:val="Heading1"/>
      </w:pPr>
      <w:r>
        <w:t>Objet et règle de périmètre</w:t>
      </w:r>
    </w:p>
    <w:p>
      <w:r>
        <w:rPr>
          <w:i w:val="0"/>
        </w:rPr>
        <w:t>Ce document rapproche « Cahier_des_charges_Gestion_Salle_de_Sport_Java » et « Cahier_des_charges_Gestion_Salle_de_Sport_Java_2 ». Il conserve les fonctions de gestion de la première version, reprend les apports utiles de la seconde et distingue clairement ce qui est réalisable avec la base actuelle de ce qui nécessitera une évolution ultérieure.</w:t>
      </w:r>
    </w:p>
    <w:p>
      <w:pPr>
        <w:spacing w:before="80" w:after="160"/>
      </w:pPr>
      <w:r>
        <w:rPr>
          <w:b/>
          <w:color w:val="B42318"/>
        </w:rPr>
        <w:t xml:space="preserve">IMPORTANT — </w:t>
      </w:r>
      <w:r>
        <w:rPr>
          <w:b/>
        </w:rPr>
        <w:t>Aucune modification de la base de données n’est demandée ni incluse dans cette synthèse. Le schéma MySQL actuellement présent dans le projet reste la référence pour la première phase. Les fonctions qui exigeraient de nouvelles tables ou colonnes sont reportées à une évolution décidée séparément.</w:t>
      </w:r>
    </w:p>
    <w:p>
      <w:pPr>
        <w:pStyle w:val="Heading1"/>
      </w:pPr>
      <w:r>
        <w:t>1. Comparaison des deux cahiers des charges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shd w:fill="17365D"/>
            <w:vAlign w:val="center"/>
          </w:tcPr>
          <w:p>
            <w:pPr>
              <w:spacing w:after="20" w:before="20"/>
            </w:pPr>
            <w:r/>
            <w:r>
              <w:rPr>
                <w:rFonts w:ascii="Aptos" w:hAnsi="Aptos"/>
                <w:b/>
                <w:color w:val="FFFFFF"/>
                <w:sz w:val="16"/>
              </w:rPr>
              <w:t>Domaine</w:t>
            </w:r>
          </w:p>
        </w:tc>
        <w:tc>
          <w:tcPr>
            <w:tcW w:type="dxa" w:w="2498"/>
            <w:shd w:fill="17365D"/>
            <w:vAlign w:val="center"/>
          </w:tcPr>
          <w:p>
            <w:pPr>
              <w:spacing w:after="20" w:before="20"/>
            </w:pPr>
            <w:r/>
            <w:r>
              <w:rPr>
                <w:rFonts w:ascii="Aptos" w:hAnsi="Aptos"/>
                <w:b/>
                <w:color w:val="FFFFFF"/>
                <w:sz w:val="16"/>
              </w:rPr>
              <w:t>Version 1</w:t>
            </w:r>
          </w:p>
        </w:tc>
        <w:tc>
          <w:tcPr>
            <w:tcW w:type="dxa" w:w="2498"/>
            <w:shd w:fill="17365D"/>
            <w:vAlign w:val="center"/>
          </w:tcPr>
          <w:p>
            <w:pPr>
              <w:spacing w:after="20" w:before="20"/>
            </w:pPr>
            <w:r/>
            <w:r>
              <w:rPr>
                <w:rFonts w:ascii="Aptos" w:hAnsi="Aptos"/>
                <w:b/>
                <w:color w:val="FFFFFF"/>
                <w:sz w:val="16"/>
              </w:rPr>
              <w:t>Version 2</w:t>
            </w:r>
          </w:p>
        </w:tc>
        <w:tc>
          <w:tcPr>
            <w:tcW w:type="dxa" w:w="2498"/>
            <w:shd w:fill="17365D"/>
            <w:vAlign w:val="center"/>
          </w:tcPr>
          <w:p>
            <w:pPr>
              <w:spacing w:after="20" w:before="20"/>
            </w:pPr>
            <w:r/>
            <w:r>
              <w:rPr>
                <w:rFonts w:ascii="Aptos" w:hAnsi="Aptos"/>
                <w:b/>
                <w:color w:val="FFFFFF"/>
                <w:sz w:val="16"/>
              </w:rPr>
              <w:t>Synthèse retenue</w:t>
            </w:r>
          </w:p>
        </w:tc>
      </w:tr>
      <w:tr>
        <w:tc>
          <w:tcPr>
            <w:tcW w:type="dxa" w:w="2498"/>
            <w:vAlign w:val="center"/>
          </w:tcPr>
          <w:p>
            <w:pPr>
              <w:spacing w:after="20" w:before="20"/>
            </w:pPr>
            <w:r/>
            <w:r>
              <w:rPr>
                <w:rFonts w:ascii="Aptos" w:hAnsi="Aptos"/>
                <w:b w:val="0"/>
                <w:color w:val="243447"/>
                <w:sz w:val="16"/>
              </w:rPr>
              <w:t>Cœur du projet</w:t>
            </w:r>
          </w:p>
        </w:tc>
        <w:tc>
          <w:tcPr>
            <w:tcW w:type="dxa" w:w="2498"/>
            <w:vAlign w:val="center"/>
          </w:tcPr>
          <w:p>
            <w:pPr>
              <w:spacing w:after="20" w:before="20"/>
            </w:pPr>
            <w:r/>
            <w:r>
              <w:rPr>
                <w:rFonts w:ascii="Aptos" w:hAnsi="Aptos"/>
                <w:b w:val="0"/>
                <w:color w:val="243447"/>
                <w:sz w:val="16"/>
              </w:rPr>
              <w:t>Gestion administrative et sportive de la salle.</w:t>
            </w:r>
          </w:p>
        </w:tc>
        <w:tc>
          <w:tcPr>
            <w:tcW w:type="dxa" w:w="2498"/>
            <w:vAlign w:val="center"/>
          </w:tcPr>
          <w:p>
            <w:pPr>
              <w:spacing w:after="20" w:before="20"/>
            </w:pPr>
            <w:r/>
            <w:r>
              <w:rPr>
                <w:rFonts w:ascii="Aptos" w:hAnsi="Aptos"/>
                <w:b w:val="0"/>
                <w:color w:val="243447"/>
                <w:sz w:val="16"/>
              </w:rPr>
              <w:t>Même cœur, avec davantage de fonctions destinées aux adhérents.</w:t>
            </w:r>
          </w:p>
        </w:tc>
        <w:tc>
          <w:tcPr>
            <w:tcW w:type="dxa" w:w="2498"/>
            <w:vAlign w:val="center"/>
          </w:tcPr>
          <w:p>
            <w:pPr>
              <w:spacing w:after="20" w:before="20"/>
            </w:pPr>
            <w:r/>
            <w:r>
              <w:rPr>
                <w:rFonts w:ascii="Aptos" w:hAnsi="Aptos"/>
                <w:b w:val="0"/>
                <w:color w:val="243447"/>
                <w:sz w:val="16"/>
              </w:rPr>
              <w:t>Conserver les modules existants comme socle opérationnel.</w:t>
            </w:r>
          </w:p>
        </w:tc>
      </w:tr>
      <w:tr>
        <w:tc>
          <w:tcPr>
            <w:tcW w:type="dxa" w:w="2498"/>
            <w:shd w:fill="F2F6F9"/>
            <w:vAlign w:val="center"/>
          </w:tcPr>
          <w:p>
            <w:pPr>
              <w:spacing w:after="20" w:before="20"/>
            </w:pPr>
            <w:r/>
            <w:r>
              <w:rPr>
                <w:rFonts w:ascii="Aptos" w:hAnsi="Aptos"/>
                <w:b w:val="0"/>
                <w:color w:val="243447"/>
                <w:sz w:val="16"/>
              </w:rPr>
              <w:t>Adhérents</w:t>
            </w:r>
          </w:p>
        </w:tc>
        <w:tc>
          <w:tcPr>
            <w:tcW w:type="dxa" w:w="2498"/>
            <w:shd w:fill="F2F6F9"/>
            <w:vAlign w:val="center"/>
          </w:tcPr>
          <w:p>
            <w:pPr>
              <w:spacing w:after="20" w:before="20"/>
            </w:pPr>
            <w:r/>
            <w:r>
              <w:rPr>
                <w:rFonts w:ascii="Aptos" w:hAnsi="Aptos"/>
                <w:b w:val="0"/>
                <w:color w:val="243447"/>
                <w:sz w:val="16"/>
              </w:rPr>
              <w:t>Gestion par le personnel; pas d’espace adhérent autonome.</w:t>
            </w:r>
          </w:p>
        </w:tc>
        <w:tc>
          <w:tcPr>
            <w:tcW w:type="dxa" w:w="2498"/>
            <w:shd w:fill="F2F6F9"/>
            <w:vAlign w:val="center"/>
          </w:tcPr>
          <w:p>
            <w:pPr>
              <w:spacing w:after="20" w:before="20"/>
            </w:pPr>
            <w:r/>
            <w:r>
              <w:rPr>
                <w:rFonts w:ascii="Aptos" w:hAnsi="Aptos"/>
                <w:b w:val="0"/>
                <w:color w:val="243447"/>
                <w:sz w:val="16"/>
              </w:rPr>
              <w:t>Création de compte, connexion et consultation en ligne.</w:t>
            </w:r>
          </w:p>
        </w:tc>
        <w:tc>
          <w:tcPr>
            <w:tcW w:type="dxa" w:w="2498"/>
            <w:shd w:fill="F2F6F9"/>
            <w:vAlign w:val="center"/>
          </w:tcPr>
          <w:p>
            <w:r>
              <w:t>Espace membre JavaFX ajouté comme évolution isolée; comptes activés par le personnel, sans refonte des tables métier.</w:t>
            </w:r>
          </w:p>
        </w:tc>
      </w:tr>
      <w:tr>
        <w:tc>
          <w:tcPr>
            <w:tcW w:type="dxa" w:w="2498"/>
            <w:vAlign w:val="center"/>
          </w:tcPr>
          <w:p>
            <w:pPr>
              <w:spacing w:after="20" w:before="20"/>
            </w:pPr>
            <w:r/>
            <w:r>
              <w:rPr>
                <w:rFonts w:ascii="Aptos" w:hAnsi="Aptos"/>
                <w:b w:val="0"/>
                <w:color w:val="243447"/>
                <w:sz w:val="16"/>
              </w:rPr>
              <w:t>Abonnements</w:t>
            </w:r>
          </w:p>
        </w:tc>
        <w:tc>
          <w:tcPr>
            <w:tcW w:type="dxa" w:w="2498"/>
            <w:vAlign w:val="center"/>
          </w:tcPr>
          <w:p>
            <w:pPr>
              <w:spacing w:after="20" w:before="20"/>
            </w:pPr>
            <w:r/>
            <w:r>
              <w:rPr>
                <w:rFonts w:ascii="Aptos" w:hAnsi="Aptos"/>
                <w:b w:val="0"/>
                <w:color w:val="243447"/>
                <w:sz w:val="16"/>
              </w:rPr>
              <w:t>Types et dates; états actif/expiré.</w:t>
            </w:r>
          </w:p>
        </w:tc>
        <w:tc>
          <w:tcPr>
            <w:tcW w:type="dxa" w:w="2498"/>
            <w:vAlign w:val="center"/>
          </w:tcPr>
          <w:p>
            <w:pPr>
              <w:spacing w:after="20" w:before="20"/>
            </w:pPr>
            <w:r/>
            <w:r>
              <w:rPr>
                <w:rFonts w:ascii="Aptos" w:hAnsi="Aptos"/>
                <w:b w:val="0"/>
                <w:color w:val="243447"/>
                <w:sz w:val="16"/>
              </w:rPr>
              <w:t>Formules distinctes; suspension et suivi plus complet.</w:t>
            </w:r>
          </w:p>
        </w:tc>
        <w:tc>
          <w:tcPr>
            <w:tcW w:type="dxa" w:w="2498"/>
            <w:vAlign w:val="center"/>
          </w:tcPr>
          <w:p>
            <w:pPr>
              <w:spacing w:after="20" w:before="20"/>
            </w:pPr>
            <w:r/>
            <w:r>
              <w:rPr>
                <w:rFonts w:ascii="Aptos" w:hAnsi="Aptos"/>
                <w:b w:val="0"/>
                <w:color w:val="243447"/>
                <w:sz w:val="16"/>
              </w:rPr>
              <w:t>Garder les types, dates et états compatibles avec la base actuelle; formules séparées et suspension reportées.</w:t>
            </w:r>
          </w:p>
        </w:tc>
      </w:tr>
      <w:tr>
        <w:tc>
          <w:tcPr>
            <w:tcW w:type="dxa" w:w="2498"/>
            <w:shd w:fill="F2F6F9"/>
            <w:vAlign w:val="center"/>
          </w:tcPr>
          <w:p>
            <w:pPr>
              <w:spacing w:after="20" w:before="20"/>
            </w:pPr>
            <w:r/>
            <w:r>
              <w:rPr>
                <w:rFonts w:ascii="Aptos" w:hAnsi="Aptos"/>
                <w:b w:val="0"/>
                <w:color w:val="243447"/>
                <w:sz w:val="16"/>
              </w:rPr>
              <w:t>Paiements</w:t>
            </w:r>
          </w:p>
        </w:tc>
        <w:tc>
          <w:tcPr>
            <w:tcW w:type="dxa" w:w="2498"/>
            <w:shd w:fill="F2F6F9"/>
            <w:vAlign w:val="center"/>
          </w:tcPr>
          <w:p>
            <w:pPr>
              <w:spacing w:after="20" w:before="20"/>
            </w:pPr>
            <w:r/>
            <w:r>
              <w:rPr>
                <w:rFonts w:ascii="Aptos" w:hAnsi="Aptos"/>
                <w:b w:val="0"/>
                <w:color w:val="243447"/>
                <w:sz w:val="16"/>
              </w:rPr>
              <w:t>Historique, moyens de paiement et reçu.</w:t>
            </w:r>
          </w:p>
        </w:tc>
        <w:tc>
          <w:tcPr>
            <w:tcW w:type="dxa" w:w="2498"/>
            <w:shd w:fill="F2F6F9"/>
            <w:vAlign w:val="center"/>
          </w:tcPr>
          <w:p>
            <w:pPr>
              <w:spacing w:after="20" w:before="20"/>
            </w:pPr>
            <w:r/>
            <w:r>
              <w:rPr>
                <w:rFonts w:ascii="Aptos" w:hAnsi="Aptos"/>
                <w:b w:val="0"/>
                <w:color w:val="243447"/>
                <w:sz w:val="16"/>
              </w:rPr>
              <w:t>États de paiement et facturation regroupant un ou plusieurs paiements.</w:t>
            </w:r>
          </w:p>
        </w:tc>
        <w:tc>
          <w:tcPr>
            <w:tcW w:type="dxa" w:w="2498"/>
            <w:shd w:fill="F2F6F9"/>
            <w:vAlign w:val="center"/>
          </w:tcPr>
          <w:p>
            <w:pPr>
              <w:spacing w:after="20" w:before="20"/>
            </w:pPr>
            <w:r/>
            <w:r>
              <w:rPr>
                <w:rFonts w:ascii="Aptos" w:hAnsi="Aptos"/>
                <w:b w:val="0"/>
                <w:color w:val="243447"/>
                <w:sz w:val="16"/>
              </w:rPr>
              <w:t>Paiements et reçu simple au périmètre actuel; facturation avancée reportée.</w:t>
            </w:r>
          </w:p>
        </w:tc>
      </w:tr>
      <w:tr>
        <w:tc>
          <w:tcPr>
            <w:tcW w:type="dxa" w:w="2498"/>
            <w:vAlign w:val="center"/>
          </w:tcPr>
          <w:p>
            <w:pPr>
              <w:spacing w:after="20" w:before="20"/>
            </w:pPr>
            <w:r/>
            <w:r>
              <w:rPr>
                <w:rFonts w:ascii="Aptos" w:hAnsi="Aptos"/>
                <w:b w:val="0"/>
                <w:color w:val="243447"/>
                <w:sz w:val="16"/>
              </w:rPr>
              <w:t>Activités sportives</w:t>
            </w:r>
          </w:p>
        </w:tc>
        <w:tc>
          <w:tcPr>
            <w:tcW w:type="dxa" w:w="2498"/>
            <w:vAlign w:val="center"/>
          </w:tcPr>
          <w:p>
            <w:pPr>
              <w:spacing w:after="20" w:before="20"/>
            </w:pPr>
            <w:r/>
            <w:r>
              <w:rPr>
                <w:rFonts w:ascii="Aptos" w:hAnsi="Aptos"/>
                <w:b w:val="0"/>
                <w:color w:val="243447"/>
                <w:sz w:val="16"/>
              </w:rPr>
              <w:t>Séances, coachs, planning et inscriptions.</w:t>
            </w:r>
          </w:p>
        </w:tc>
        <w:tc>
          <w:tcPr>
            <w:tcW w:type="dxa" w:w="2498"/>
            <w:vAlign w:val="center"/>
          </w:tcPr>
          <w:p>
            <w:pPr>
              <w:spacing w:after="20" w:before="20"/>
            </w:pPr>
            <w:r/>
            <w:r>
              <w:rPr>
                <w:rFonts w:ascii="Aptos" w:hAnsi="Aptos"/>
                <w:b w:val="0"/>
                <w:color w:val="243447"/>
                <w:sz w:val="16"/>
              </w:rPr>
              <w:t>Ajout des types/états de séances et des programmes d’entraînement.</w:t>
            </w:r>
          </w:p>
        </w:tc>
        <w:tc>
          <w:tcPr>
            <w:tcW w:type="dxa" w:w="2498"/>
            <w:vAlign w:val="center"/>
          </w:tcPr>
          <w:p>
            <w:pPr>
              <w:spacing w:after="20" w:before="20"/>
            </w:pPr>
            <w:r/>
            <w:r>
              <w:rPr>
                <w:rFonts w:ascii="Aptos" w:hAnsi="Aptos"/>
                <w:b w:val="0"/>
                <w:color w:val="243447"/>
                <w:sz w:val="16"/>
              </w:rPr>
              <w:t>Séances, affectation, capacité et inscriptions au socle; programmes et nouveaux états en évolution.</w:t>
            </w:r>
          </w:p>
        </w:tc>
      </w:tr>
      <w:tr>
        <w:tc>
          <w:tcPr>
            <w:tcW w:type="dxa" w:w="2498"/>
            <w:shd w:fill="F2F6F9"/>
            <w:vAlign w:val="center"/>
          </w:tcPr>
          <w:p>
            <w:pPr>
              <w:spacing w:after="20" w:before="20"/>
            </w:pPr>
            <w:r/>
            <w:r>
              <w:rPr>
                <w:rFonts w:ascii="Aptos" w:hAnsi="Aptos"/>
                <w:b w:val="0"/>
                <w:color w:val="243447"/>
                <w:sz w:val="16"/>
              </w:rPr>
              <w:t>Fréquentation</w:t>
            </w:r>
          </w:p>
        </w:tc>
        <w:tc>
          <w:tcPr>
            <w:tcW w:type="dxa" w:w="2498"/>
            <w:shd w:fill="F2F6F9"/>
            <w:vAlign w:val="center"/>
          </w:tcPr>
          <w:p>
            <w:pPr>
              <w:spacing w:after="20" w:before="20"/>
            </w:pPr>
            <w:r/>
            <w:r>
              <w:rPr>
                <w:rFonts w:ascii="Aptos" w:hAnsi="Aptos"/>
                <w:b w:val="0"/>
                <w:color w:val="243447"/>
                <w:sz w:val="16"/>
              </w:rPr>
              <w:t>Non détaillée.</w:t>
            </w:r>
          </w:p>
        </w:tc>
        <w:tc>
          <w:tcPr>
            <w:tcW w:type="dxa" w:w="2498"/>
            <w:shd w:fill="F2F6F9"/>
            <w:vAlign w:val="center"/>
          </w:tcPr>
          <w:p>
            <w:pPr>
              <w:spacing w:after="20" w:before="20"/>
            </w:pPr>
            <w:r/>
            <w:r>
              <w:rPr>
                <w:rFonts w:ascii="Aptos" w:hAnsi="Aptos"/>
                <w:b w:val="0"/>
                <w:color w:val="243447"/>
                <w:sz w:val="16"/>
              </w:rPr>
              <w:t>Présence à chaque visite et rapports de fréquentation.</w:t>
            </w:r>
          </w:p>
        </w:tc>
        <w:tc>
          <w:tcPr>
            <w:tcW w:type="dxa" w:w="2498"/>
            <w:shd w:fill="F2F6F9"/>
            <w:vAlign w:val="center"/>
          </w:tcPr>
          <w:p>
            <w:pPr>
              <w:spacing w:after="20" w:before="20"/>
            </w:pPr>
            <w:r/>
            <w:r>
              <w:rPr>
                <w:rFonts w:ascii="Aptos" w:hAnsi="Aptos"/>
                <w:b w:val="0"/>
                <w:color w:val="243447"/>
                <w:sz w:val="16"/>
              </w:rPr>
              <w:t>À planifier ultérieurement : aucune table de présence n’existe dans le schéma actuel.</w:t>
            </w:r>
          </w:p>
        </w:tc>
      </w:tr>
      <w:tr>
        <w:tc>
          <w:tcPr>
            <w:tcW w:type="dxa" w:w="2498"/>
            <w:vAlign w:val="center"/>
          </w:tcPr>
          <w:p>
            <w:pPr>
              <w:spacing w:after="20" w:before="20"/>
            </w:pPr>
            <w:r/>
            <w:r>
              <w:rPr>
                <w:rFonts w:ascii="Aptos" w:hAnsi="Aptos"/>
                <w:b w:val="0"/>
                <w:color w:val="243447"/>
                <w:sz w:val="16"/>
              </w:rPr>
              <w:t>Conception et livrables</w:t>
            </w:r>
          </w:p>
        </w:tc>
        <w:tc>
          <w:tcPr>
            <w:tcW w:type="dxa" w:w="2498"/>
            <w:vAlign w:val="center"/>
          </w:tcPr>
          <w:p>
            <w:pPr>
              <w:spacing w:after="20" w:before="20"/>
            </w:pPr>
            <w:r/>
            <w:r>
              <w:rPr>
                <w:rFonts w:ascii="Aptos" w:hAnsi="Aptos"/>
                <w:b w:val="0"/>
                <w:color w:val="243447"/>
                <w:sz w:val="16"/>
              </w:rPr>
              <w:t>MVC, DAO/JDBC, trois diagrammes UML.</w:t>
            </w:r>
          </w:p>
        </w:tc>
        <w:tc>
          <w:tcPr>
            <w:tcW w:type="dxa" w:w="2498"/>
            <w:vAlign w:val="center"/>
          </w:tcPr>
          <w:p>
            <w:pPr>
              <w:spacing w:after="20" w:before="20"/>
            </w:pPr>
            <w:r/>
            <w:r>
              <w:rPr>
                <w:rFonts w:ascii="Aptos" w:hAnsi="Aptos"/>
                <w:b w:val="0"/>
                <w:color w:val="243447"/>
                <w:sz w:val="16"/>
              </w:rPr>
              <w:t>Hiérarchie d’acteurs et UML plus détaillé.</w:t>
            </w:r>
          </w:p>
        </w:tc>
        <w:tc>
          <w:tcPr>
            <w:tcW w:type="dxa" w:w="2498"/>
            <w:vAlign w:val="center"/>
          </w:tcPr>
          <w:p>
            <w:pPr>
              <w:spacing w:after="20" w:before="20"/>
            </w:pPr>
            <w:r/>
            <w:r>
              <w:rPr>
                <w:rFonts w:ascii="Aptos" w:hAnsi="Aptos"/>
                <w:b w:val="0"/>
                <w:color w:val="243447"/>
                <w:sz w:val="16"/>
              </w:rPr>
              <w:t>Architecture MVC/DAO conservée; enrichir la documentation UML sans imposer de refonte immédiate.</w:t>
            </w:r>
          </w:p>
        </w:tc>
      </w:tr>
      <w:tr>
        <w:tc>
          <w:tcPr>
            <w:tcW w:type="dxa" w:w="2498"/>
            <w:shd w:fill="F2F6F9"/>
            <w:vAlign w:val="center"/>
          </w:tcPr>
          <w:p>
            <w:pPr>
              <w:spacing w:after="20" w:before="20"/>
            </w:pPr>
            <w:r/>
            <w:r>
              <w:rPr>
                <w:rFonts w:ascii="Aptos" w:hAnsi="Aptos"/>
                <w:b w:val="0"/>
                <w:color w:val="243447"/>
                <w:sz w:val="16"/>
              </w:rPr>
              <w:t>Base de données</w:t>
            </w:r>
          </w:p>
        </w:tc>
        <w:tc>
          <w:tcPr>
            <w:tcW w:type="dxa" w:w="2498"/>
            <w:shd w:fill="F2F6F9"/>
            <w:vAlign w:val="center"/>
          </w:tcPr>
          <w:p>
            <w:pPr>
              <w:spacing w:after="20" w:before="20"/>
            </w:pPr>
            <w:r/>
            <w:r>
              <w:rPr>
                <w:rFonts w:ascii="Aptos" w:hAnsi="Aptos"/>
                <w:b w:val="0"/>
                <w:color w:val="243447"/>
                <w:sz w:val="16"/>
              </w:rPr>
              <w:t>Schéma simple centré sur les données existantes.</w:t>
            </w:r>
          </w:p>
        </w:tc>
        <w:tc>
          <w:tcPr>
            <w:tcW w:type="dxa" w:w="2498"/>
            <w:shd w:fill="F2F6F9"/>
            <w:vAlign w:val="center"/>
          </w:tcPr>
          <w:p>
            <w:pPr>
              <w:spacing w:after="20" w:before="20"/>
            </w:pPr>
            <w:r/>
            <w:r>
              <w:rPr>
                <w:rFonts w:ascii="Aptos" w:hAnsi="Aptos"/>
                <w:b w:val="0"/>
                <w:color w:val="243447"/>
                <w:sz w:val="16"/>
              </w:rPr>
              <w:t>Refonte/extension proposée : comptes adhérents, formules, factures, programmes, présences.</w:t>
            </w:r>
          </w:p>
        </w:tc>
        <w:tc>
          <w:tcPr>
            <w:tcW w:type="dxa" w:w="2498"/>
            <w:shd w:fill="F2F6F9"/>
            <w:vAlign w:val="center"/>
          </w:tcPr>
          <w:p>
            <w:pPr>
              <w:spacing w:after="20" w:before="20"/>
            </w:pPr>
            <w:r/>
            <w:r>
              <w:rPr>
                <w:rFonts w:ascii="Aptos" w:hAnsi="Aptos"/>
                <w:b w:val="0"/>
                <w:color w:val="243447"/>
                <w:sz w:val="16"/>
              </w:rPr>
              <w:t>Ne pas appliquer cette refonte maintenant; décrire le schéma réellement utilisé et isoler les évolutions.</w:t>
            </w:r>
          </w:p>
        </w:tc>
      </w:tr>
    </w:tbl>
    <w:p>
      <w:pPr>
        <w:spacing w:after="0"/>
      </w:pPr>
    </w:p>
    <w:p>
      <w:r>
        <w:t>Différence majeure : la deuxième version élargit le périmètre vers un portail adhérent et un suivi sportif/financier approfondi. La synthèse retient l’espace membre comme une évolution séparée de l’application JavaFX existante; seules des tables complémentaires sont prévues pour l’activer, sans refonte des tables actuelles.</w:t>
      </w:r>
    </w:p>
    <w:p>
      <w:pPr>
        <w:pStyle w:val="Heading1"/>
      </w:pPr>
      <w:r>
        <w:t>2. Présentation et objectifs</w:t>
      </w:r>
    </w:p>
    <w:p>
      <w:pPr>
        <w:pStyle w:val="Heading2"/>
      </w:pPr>
      <w:r>
        <w:t>2.1 Contexte</w:t>
      </w:r>
    </w:p>
    <w:p>
      <w:r>
        <w:rPr>
          <w:i w:val="0"/>
        </w:rPr>
        <w:t>La salle doit centraliser les informations sur ses membres, abonnements, paiements, coachs, séances et inscriptions. La gestion manuelle rend le suivi quotidien plus difficile, notamment pour retrouver un dossier, contrôler une expiration ou connaître les recettes et l’activité planifiée.</w:t>
      </w:r>
    </w:p>
    <w:p>
      <w:pPr>
        <w:pStyle w:val="Heading2"/>
      </w:pPr>
      <w:r>
        <w:t>2.2 Objectif général</w:t>
      </w:r>
    </w:p>
    <w:p>
      <w:r>
        <w:rPr>
          <w:i w:val="0"/>
        </w:rPr>
        <w:t>Développer une application de bureau en Java permettant au personnel d’administrer la salle de sport de manière fiable, sécurisée et centralisée, en s’appuyant sur la base de données existante.</w:t>
      </w:r>
    </w:p>
    <w:p>
      <w:pPr>
        <w:pStyle w:val="Heading2"/>
      </w:pPr>
      <w:r>
        <w:t>2.3 Objectifs spécifiques</w:t>
      </w:r>
    </w:p>
    <w:p>
      <w:pPr>
        <w:pStyle w:val="ListBullet"/>
        <w:spacing w:after="40"/>
      </w:pPr>
      <w:r>
        <w:t>Gérer les comptes du personnel, les membres, les coachs et les séances.</w:t>
      </w:r>
    </w:p>
    <w:p>
      <w:pPr>
        <w:pStyle w:val="ListBullet"/>
        <w:spacing w:after="40"/>
      </w:pPr>
      <w:r>
        <w:t>Créer et renouveler les abonnements, suivre leurs dates de validité et repérer les expirations.</w:t>
      </w:r>
    </w:p>
    <w:p>
      <w:pPr>
        <w:pStyle w:val="ListBullet"/>
        <w:spacing w:after="40"/>
      </w:pPr>
      <w:r>
        <w:t>Enregistrer les paiements, consulter leur historique et produire un justificatif simple lorsque le flux actuel le permet.</w:t>
      </w:r>
    </w:p>
    <w:p>
      <w:pPr>
        <w:pStyle w:val="ListBullet"/>
        <w:spacing w:after="40"/>
      </w:pPr>
      <w:r>
        <w:t>Gérer les inscriptions aux séances en contrôlant la validité de l’abonnement et la capacité disponible.</w:t>
      </w:r>
    </w:p>
    <w:p>
      <w:pPr>
        <w:pStyle w:val="ListBullet"/>
        <w:spacing w:after="40"/>
      </w:pPr>
      <w:r>
        <w:t>Rechercher rapidement les dossiers et fournir au personnel un tableau de bord et des rapports utiles.</w:t>
      </w:r>
    </w:p>
    <w:p>
      <w:pPr>
        <w:pStyle w:val="ListBullet"/>
        <w:spacing w:after="40"/>
      </w:pPr>
      <w:r>
        <w:t>Appliquer les autorisations selon le rôle et protéger les identifiants.</w:t>
      </w:r>
    </w:p>
    <w:p>
      <w:pPr>
        <w:pStyle w:val="Heading1"/>
      </w:pPr>
      <w:r>
        <w:t>3. Périmètre et phases de réalisation</w:t>
      </w:r>
    </w:p>
    <w:p>
      <w:pPr>
        <w:pStyle w:val="Heading2"/>
      </w:pPr>
      <w:r>
        <w:t>3.1 Phase 1 — périmètre compatible avec la base actuelle</w:t>
      </w:r>
    </w:p>
    <w:p>
      <w:pPr>
        <w:pStyle w:val="ListBullet"/>
        <w:spacing w:after="40"/>
      </w:pPr>
      <w:r>
        <w:t>Authentification du personnel : administrateur, réceptionniste et coach.</w:t>
      </w:r>
    </w:p>
    <w:p>
      <w:pPr>
        <w:pStyle w:val="ListBullet"/>
        <w:spacing w:after="40"/>
      </w:pPr>
      <w:r>
        <w:t>Gestion des membres et de leur statut.</w:t>
      </w:r>
    </w:p>
    <w:p>
      <w:pPr>
        <w:pStyle w:val="ListBullet"/>
        <w:spacing w:after="40"/>
      </w:pPr>
      <w:r>
        <w:t>Abonnements par type, dates, prix et statut actif/expiré; renouvellement et suivi des échéances.</w:t>
      </w:r>
    </w:p>
    <w:p>
      <w:pPr>
        <w:pStyle w:val="ListBullet"/>
        <w:spacing w:after="40"/>
      </w:pPr>
      <w:r>
        <w:t>Paiements associés à un membre et à un abonnement, avec moyen, statut et référence.</w:t>
      </w:r>
    </w:p>
    <w:p>
      <w:pPr>
        <w:pStyle w:val="ListBullet"/>
        <w:spacing w:after="40"/>
      </w:pPr>
      <w:r>
        <w:t>Gestion des coachs; gestion des séances, du planning et des inscriptions.</w:t>
      </w:r>
    </w:p>
    <w:p>
      <w:pPr>
        <w:pStyle w:val="ListBullet"/>
        <w:spacing w:after="40"/>
      </w:pPr>
      <w:r>
        <w:t>Recherche, tableau de bord, rapports disponibles à partir des données existantes.</w:t>
      </w:r>
    </w:p>
    <w:p>
      <w:pPr>
        <w:pStyle w:val="Heading2"/>
      </w:pPr>
      <w:r>
        <w:t>3.2 Évolution ciblée — espace membre dans JavaFX</w:t>
      </w:r>
    </w:p>
    <w:p>
      <w:r>
        <w:t>L’espace membre complète l’application de bureau existante. Il ne remplace ni la connexion du personnel, ni son tableau de bord, ni ses modules. Son activation est contrôlée et nécessite une migration SQL additive explicite :</w:t>
      </w:r>
    </w:p>
    <w:p>
      <w:pPr>
        <w:pStyle w:val="ListBullet"/>
        <w:spacing w:after="40"/>
      </w:pPr>
      <w:r>
        <w:t>Connexion membre distincte dans JavaFX, accessible depuis l’écran d’accueil; elle utilise une session membre séparée et ne transforme pas les comptes du personnel.</w:t>
      </w:r>
    </w:p>
    <w:p>
      <w:pPr>
        <w:pStyle w:val="ListBullet"/>
        <w:spacing w:after="40"/>
      </w:pPr>
      <w:r>
        <w:t>Le personnel active l’accès d’un membre déjà enregistré et actif. Les identifiants sont stockés dans une nouvelle table dédiée avec mot de passe haché; aucun rôle ADHERENT n’est ajouté à utilisateurs.</w:t>
      </w:r>
    </w:p>
    <w:p>
      <w:pPr>
        <w:pStyle w:val="ListBullet"/>
        <w:spacing w:after="40"/>
      </w:pPr>
      <w:r>
        <w:t>Le membre consulte uniquement ses propres abonnements et paiements, ainsi que les séances à venir; aucune fiche membre ou paiement d’un autre adhérent ne lui est accessible.</w:t>
      </w:r>
    </w:p>
    <w:p>
      <w:pPr>
        <w:pStyle w:val="ListBullet"/>
        <w:spacing w:after="40"/>
      </w:pPr>
      <w:r>
        <w:t>Le membre peut demander une inscription à une séance; le service revérifie côté métier le compte actif, l’abonnement valide, l’absence de doublon et la capacité disponible.</w:t>
      </w:r>
    </w:p>
    <w:p>
      <w:pPr>
        <w:pStyle w:val="ListBullet"/>
        <w:spacing w:after="40"/>
      </w:pPr>
      <w:r>
        <w:t>Le membre choisit un type d’abonnement et envoie une demande en attente si aucun abonnement valide ni autre demande en attente ne bloque une nouvelle souscription. Il ne peut ni valider lui-même un paiement ni activer directement un abonnement.</w:t>
      </w:r>
    </w:p>
    <w:p>
      <w:pPr>
        <w:pStyle w:val="ListBullet"/>
        <w:spacing w:after="40"/>
      </w:pPr>
      <w:r>
        <w:t>Le personnel traite la demande après encaissement réel : il saisit le montant reçu et le mode de paiement. Dans une transaction unique, l’application crée l’abonnement et le paiement existants puis clôt la demande.</w:t>
      </w:r>
    </w:p>
    <w:p>
      <w:r>
        <w:t>Le script member-portal-migration.sql ajoute uniquement comptes_membres et demandes_abonnement; il ne modifie pas les tables existantes et n’est pas exécuté automatiquement. Sauvegarder la base avant de l’appliquer.</w:t>
      </w:r>
    </w:p>
    <w:p>
      <w:pPr>
        <w:pStyle w:val="Heading2"/>
      </w:pPr>
      <w:r>
        <w:t>3.3 Évolutions ultérieures hors espace membre ciblé</w:t>
      </w:r>
    </w:p>
    <w:p>
      <w:pPr>
        <w:pStyle w:val="ListBullet"/>
      </w:pPr>
      <w:r>
        <w:t>Accès web à distance ou application mobile (l’application JavaFX reste une application de bureau).</w:t>
      </w:r>
    </w:p>
    <w:p>
      <w:pPr>
        <w:pStyle w:val="ListBullet"/>
      </w:pPr>
      <w:r>
        <w:t>Inscription autonome des nouveaux adhérents, validation d’identité et récupération de mot de passe par email/SMS.</w:t>
      </w:r>
    </w:p>
    <w:p>
      <w:pPr>
        <w:pStyle w:val="ListBullet"/>
      </w:pPr>
      <w:r>
        <w:t>Paiement en ligne, suivi des présences physiques, programmes d’entraînement, factures multi-paiements, notifications, QR code, promotions et stock.</w:t>
      </w:r>
    </w:p>
    <w:p>
      <w:pPr>
        <w:pStyle w:val="Heading1"/>
      </w:pPr>
      <w:r>
        <w:t>4. Acteurs et responsabilités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7365D"/>
            <w:vAlign w:val="center"/>
          </w:tcPr>
          <w:p>
            <w:pPr>
              <w:spacing w:after="20" w:before="20"/>
            </w:pPr>
            <w:r/>
            <w:r>
              <w:rPr>
                <w:rFonts w:ascii="Aptos" w:hAnsi="Aptos"/>
                <w:b/>
                <w:color w:val="FFFFFF"/>
                <w:sz w:val="18"/>
              </w:rPr>
              <w:t>Acteur</w:t>
            </w:r>
          </w:p>
        </w:tc>
        <w:tc>
          <w:tcPr>
            <w:tcW w:type="dxa" w:w="4997"/>
            <w:shd w:fill="17365D"/>
            <w:vAlign w:val="center"/>
          </w:tcPr>
          <w:p>
            <w:pPr>
              <w:spacing w:after="20" w:before="20"/>
            </w:pPr>
            <w:r/>
            <w:r>
              <w:rPr>
                <w:rFonts w:ascii="Aptos" w:hAnsi="Aptos"/>
                <w:b/>
                <w:color w:val="FFFFFF"/>
                <w:sz w:val="18"/>
              </w:rPr>
              <w:t>Responsabilités dans le périmètre actuel</w:t>
            </w:r>
          </w:p>
        </w:tc>
      </w:tr>
      <w:tr>
        <w:tc>
          <w:tcPr>
            <w:tcW w:type="dxa" w:w="4997"/>
            <w:vAlign w:val="center"/>
          </w:tcPr>
          <w:p>
            <w:pPr>
              <w:spacing w:after="20" w:before="20"/>
            </w:pPr>
            <w:r/>
            <w:r>
              <w:rPr>
                <w:rFonts w:ascii="Aptos" w:hAnsi="Aptos"/>
                <w:b w:val="0"/>
                <w:color w:val="243447"/>
                <w:sz w:val="18"/>
              </w:rPr>
              <w:t>Administrateur</w:t>
            </w:r>
          </w:p>
        </w:tc>
        <w:tc>
          <w:tcPr>
            <w:tcW w:type="dxa" w:w="4997"/>
            <w:vAlign w:val="center"/>
          </w:tcPr>
          <w:p>
            <w:pPr>
              <w:spacing w:after="20" w:before="20"/>
            </w:pPr>
            <w:r/>
            <w:r>
              <w:rPr>
                <w:rFonts w:ascii="Aptos" w:hAnsi="Aptos"/>
                <w:b w:val="0"/>
                <w:color w:val="243447"/>
                <w:sz w:val="18"/>
              </w:rPr>
              <w:t>Gérer les comptes du personnel, membres, coachs, abonnements, paiements, séances; consulter le tableau de bord et les rapports.</w:t>
            </w:r>
          </w:p>
        </w:tc>
      </w:tr>
      <w:tr>
        <w:tc>
          <w:tcPr>
            <w:tcW w:type="dxa" w:w="4997"/>
            <w:shd w:fill="F2F6F9"/>
            <w:vAlign w:val="center"/>
          </w:tcPr>
          <w:p>
            <w:pPr>
              <w:spacing w:after="20" w:before="20"/>
            </w:pPr>
            <w:r/>
            <w:r>
              <w:rPr>
                <w:rFonts w:ascii="Aptos" w:hAnsi="Aptos"/>
                <w:b w:val="0"/>
                <w:color w:val="243447"/>
                <w:sz w:val="18"/>
              </w:rPr>
              <w:t>Réceptionniste</w:t>
            </w:r>
          </w:p>
        </w:tc>
        <w:tc>
          <w:tcPr>
            <w:tcW w:type="dxa" w:w="4997"/>
            <w:shd w:fill="F2F6F9"/>
            <w:vAlign w:val="center"/>
          </w:tcPr>
          <w:p>
            <w:pPr>
              <w:spacing w:after="20" w:before="20"/>
            </w:pPr>
            <w:r/>
            <w:r>
              <w:rPr>
                <w:rFonts w:ascii="Aptos" w:hAnsi="Aptos"/>
                <w:b w:val="0"/>
                <w:color w:val="243447"/>
                <w:sz w:val="18"/>
              </w:rPr>
              <w:t>Inscrire et rechercher les membres, gérer leurs abonnements et paiements, consulter le planning et inscrire les membres aux séances selon les droits accordés.</w:t>
            </w:r>
          </w:p>
        </w:tc>
      </w:tr>
      <w:tr>
        <w:tc>
          <w:tcPr>
            <w:tcW w:type="dxa" w:w="4997"/>
            <w:vAlign w:val="center"/>
          </w:tcPr>
          <w:p>
            <w:pPr>
              <w:spacing w:after="20" w:before="20"/>
            </w:pPr>
            <w:r/>
            <w:r>
              <w:rPr>
                <w:rFonts w:ascii="Aptos" w:hAnsi="Aptos"/>
                <w:b w:val="0"/>
                <w:color w:val="243447"/>
                <w:sz w:val="18"/>
              </w:rPr>
              <w:t>Coach</w:t>
            </w:r>
          </w:p>
        </w:tc>
        <w:tc>
          <w:tcPr>
            <w:tcW w:type="dxa" w:w="4997"/>
            <w:vAlign w:val="center"/>
          </w:tcPr>
          <w:p>
            <w:pPr>
              <w:spacing w:after="20" w:before="20"/>
            </w:pPr>
            <w:r/>
            <w:r>
              <w:rPr>
                <w:rFonts w:ascii="Aptos" w:hAnsi="Aptos"/>
                <w:b w:val="0"/>
                <w:color w:val="243447"/>
                <w:sz w:val="18"/>
              </w:rPr>
              <w:t>Consulter son planning et les séances qui lui sont affectées; consulter les inscriptions nécessaires à leur encadrement.</w:t>
            </w:r>
          </w:p>
        </w:tc>
      </w:tr>
      <w:tr>
        <w:tc>
          <w:tcPr>
            <w:tcW w:type="dxa" w:w="4997"/>
            <w:shd w:fill="F2F6F9"/>
            <w:vAlign w:val="center"/>
          </w:tcPr>
          <w:p>
            <w:pPr>
              <w:spacing w:after="20" w:before="20"/>
            </w:pPr>
            <w:r/>
            <w:r>
              <w:rPr>
                <w:rFonts w:ascii="Aptos" w:hAnsi="Aptos"/>
                <w:b w:val="0"/>
                <w:color w:val="243447"/>
                <w:sz w:val="18"/>
              </w:rPr>
              <w:t>Adhérent</w:t>
            </w:r>
          </w:p>
        </w:tc>
        <w:tc>
          <w:tcPr>
            <w:tcW w:type="dxa" w:w="4997"/>
            <w:shd w:fill="F2F6F9"/>
            <w:vAlign w:val="center"/>
          </w:tcPr>
          <w:p>
            <w:r>
              <w:t>Membre actif dont l’accès a été créé par le personnel : connexion à son espace JavaFX, consultation de ses propres données, demande d’abonnement et inscription à une séance selon les règles métier.</w:t>
            </w:r>
          </w:p>
        </w:tc>
      </w:tr>
    </w:tbl>
    <w:p>
      <w:pPr>
        <w:spacing w:after="0"/>
      </w:pPr>
    </w:p>
    <w:p>
      <w:pPr>
        <w:pStyle w:val="Heading1"/>
      </w:pPr>
      <w:r>
        <w:t>5. Exigences fonctionnelles</w:t>
      </w:r>
    </w:p>
    <w:p>
      <w:pPr>
        <w:pStyle w:val="Heading2"/>
      </w:pPr>
      <w:r>
        <w:t>5.1 Authentification et autorisations</w:t>
      </w:r>
    </w:p>
    <w:p>
      <w:pPr>
        <w:pStyle w:val="ListBullet"/>
        <w:spacing w:after="40"/>
      </w:pPr>
      <w:r>
        <w:t>Connexion et déconnexion du personnel; accès membre distinct, sans modifier le mécanisme d’authentification du personnel.</w:t>
      </w:r>
    </w:p>
    <w:p>
      <w:pPr>
        <w:pStyle w:val="ListBullet"/>
      </w:pPr>
      <w:r>
        <w:t>Tout utilisateur du personnel connecté (administrateur, réceptionniste ou coach) peut modifier son propre mot de passe après vérification de l’ancien; le nouveau mot de passe est confirmé, doit contenir au moins 8 caractères et reste stocké sous forme BCrypt. Aucun droit de modifier le mot de passe d’un autre compte n’est accordé par cette fonction.</w:t>
      </w:r>
    </w:p>
    <w:p>
      <w:pPr>
        <w:pStyle w:val="ListBullet"/>
        <w:spacing w:after="40"/>
      </w:pPr>
      <w:r>
        <w:t>Contrôle des accès selon le rôle administrateur, réceptionniste ou coach.</w:t>
      </w:r>
    </w:p>
    <w:p>
      <w:pPr>
        <w:pStyle w:val="ListBullet"/>
        <w:spacing w:after="40"/>
      </w:pPr>
      <w:r>
        <w:t>Mots de passe stockés sous forme protégée; les données d’authentification ne doivent pas être exposées dans les écrans ou les journaux.</w:t>
      </w:r>
    </w:p>
    <w:p>
      <w:pPr>
        <w:pStyle w:val="Heading2"/>
      </w:pPr>
      <w:r>
        <w:t>5.2 Membres</w:t>
      </w:r>
    </w:p>
    <w:p>
      <w:pPr>
        <w:pStyle w:val="ListBullet"/>
        <w:spacing w:after="40"/>
      </w:pPr>
      <w:r>
        <w:t>Créer, consulter et modifier une fiche membre; la suppression doit respecter les contraintes d’intégrité des données.</w:t>
      </w:r>
    </w:p>
    <w:p>
      <w:pPr>
        <w:pStyle w:val="ListBullet"/>
        <w:spacing w:after="40"/>
      </w:pPr>
      <w:r>
        <w:t>Rechercher par identifiant, nom, prénom ou téléphone; filtrer par statut actif/inactif.</w:t>
      </w:r>
    </w:p>
    <w:p>
      <w:pPr>
        <w:pStyle w:val="ListBullet"/>
        <w:spacing w:after="40"/>
      </w:pPr>
      <w:r>
        <w:t>Conserver les informations personnelles et la date d’inscription prévues par la table membres.</w:t>
      </w:r>
    </w:p>
    <w:p>
      <w:pPr>
        <w:pStyle w:val="Heading2"/>
      </w:pPr>
      <w:r>
        <w:t>5.3 Abonnements et expirations</w:t>
      </w:r>
    </w:p>
    <w:p>
      <w:pPr>
        <w:pStyle w:val="ListBullet"/>
        <w:spacing w:after="40"/>
      </w:pPr>
      <w:r>
        <w:t>Créer, consulter et renouveler un abonnement, avec type, prix, dates de début et de fin.</w:t>
      </w:r>
    </w:p>
    <w:p>
      <w:pPr>
        <w:pStyle w:val="ListBullet"/>
        <w:spacing w:after="40"/>
      </w:pPr>
      <w:r>
        <w:t>Prendre en charge les types journalier, hebdomadaire, mensuel, trimestriel, semestriel et annuel.</w:t>
      </w:r>
    </w:p>
    <w:p>
      <w:pPr>
        <w:pStyle w:val="ListBullet"/>
        <w:spacing w:after="40"/>
      </w:pPr>
      <w:r>
        <w:t>Détecter l’expiration selon les dates; présenter les abonnements arrivant prochainement à échéance et le nombre de jours restants.</w:t>
      </w:r>
    </w:p>
    <w:p>
      <w:pPr>
        <w:pStyle w:val="ListBullet"/>
        <w:spacing w:after="40"/>
      </w:pPr>
      <w:r>
        <w:t>Dans la phase actuelle, utiliser les statuts ACTIF et EXPIRE. La suspension et le catalogue indépendant de formules sont reportés.</w:t>
      </w:r>
    </w:p>
    <w:p>
      <w:pPr>
        <w:pStyle w:val="Heading2"/>
      </w:pPr>
      <w:r>
        <w:t>5.4 Paiements</w:t>
      </w:r>
    </w:p>
    <w:p>
      <w:pPr>
        <w:pStyle w:val="ListBullet"/>
        <w:spacing w:after="40"/>
      </w:pPr>
      <w:r>
        <w:t>Enregistrer et consulter les paiements liés au membre et à l’abonnement concerné.</w:t>
      </w:r>
    </w:p>
    <w:p>
      <w:pPr>
        <w:pStyle w:val="ListBullet"/>
        <w:spacing w:after="40"/>
      </w:pPr>
      <w:r>
        <w:t>Prendre en charge les modes espèces, Wave, Orange Money et carte bancaire.</w:t>
      </w:r>
    </w:p>
    <w:p>
      <w:pPr>
        <w:pStyle w:val="ListBullet"/>
        <w:spacing w:after="40"/>
      </w:pPr>
      <w:r>
        <w:t>Utiliser les statuts présents dans la base : VALIDE, EN_ATTENTE et ANNULE; conserver la référence lorsqu’elle est disponible.</w:t>
      </w:r>
    </w:p>
    <w:p>
      <w:pPr>
        <w:pStyle w:val="ListBullet"/>
        <w:spacing w:after="40"/>
      </w:pPr>
      <w:r>
        <w:t>Consulter l’historique et les totaux; le modèle de facture multi-paiements et les remboursements sont hors phase 1.</w:t>
      </w:r>
    </w:p>
    <w:p>
      <w:pPr>
        <w:pStyle w:val="Heading2"/>
      </w:pPr>
      <w:r>
        <w:t>5.5 Coachs, séances et inscriptions</w:t>
      </w:r>
    </w:p>
    <w:p>
      <w:pPr>
        <w:pStyle w:val="ListBullet"/>
        <w:spacing w:after="40"/>
      </w:pPr>
      <w:r>
        <w:t>Gérer les informations et disponibilités des coachs.</w:t>
      </w:r>
    </w:p>
    <w:p>
      <w:pPr>
        <w:pStyle w:val="ListBullet"/>
        <w:spacing w:after="40"/>
      </w:pPr>
      <w:r>
        <w:t>Créer, consulter, modifier et supprimer une séance; affecter un coach et préciser date, horaires, salle et capacité.</w:t>
      </w:r>
    </w:p>
    <w:p>
      <w:pPr>
        <w:pStyle w:val="ListBullet"/>
        <w:spacing w:after="40"/>
      </w:pPr>
      <w:r>
        <w:t>Inscrire un membre à une séance; vérifier la validité de l’abonnement et la capacité avant confirmation.</w:t>
      </w:r>
    </w:p>
    <w:p>
      <w:pPr>
        <w:pStyle w:val="ListBullet"/>
        <w:spacing w:after="40"/>
      </w:pPr>
      <w:r>
        <w:t>Gérer les états d’inscription CONFIRMEE, EN_ATTENTE et ANNULEE. Les programmes d’entraînement et statuts détaillés des séances sont reportés.</w:t>
      </w:r>
    </w:p>
    <w:p>
      <w:pPr>
        <w:pStyle w:val="Heading2"/>
      </w:pPr>
      <w:r>
        <w:t>5.6 Recherche, tableau de bord et rapports</w:t>
      </w:r>
    </w:p>
    <w:p>
      <w:pPr>
        <w:pStyle w:val="ListBullet"/>
        <w:spacing w:after="40"/>
      </w:pPr>
      <w:r>
        <w:t>Rechercher les membres et filtrer par statut ou type d’abonnement; proposer les filtres coach/séance lorsque pertinents.</w:t>
      </w:r>
    </w:p>
    <w:p>
      <w:pPr>
        <w:pStyle w:val="ListBullet"/>
        <w:spacing w:after="40"/>
      </w:pPr>
      <w:r>
        <w:t>Afficher les indicateurs issus des données disponibles : membres, abonnements, paiements/revenus, coachs et séances.</w:t>
      </w:r>
    </w:p>
    <w:p>
      <w:pPr>
        <w:pStyle w:val="ListBullet"/>
        <w:spacing w:after="40"/>
      </w:pPr>
      <w:r>
        <w:t>Fournir des rapports de membres, abonnements, paiements et planning; les rapports de présence attendent l’évolution correspondante.</w:t>
      </w:r>
    </w:p>
    <w:p>
      <w:pPr>
        <w:pStyle w:val="Heading2"/>
      </w:pPr>
      <w:r>
        <w:t>5.7 Espace membre JavaFX</w:t>
      </w:r>
    </w:p>
    <w:p>
      <w:pPr>
        <w:pStyle w:val="ListBullet"/>
      </w:pPr>
      <w:r>
        <w:t>Seul le personnel autorisé crée ou réinitialise l’accès d’un membre déjà enregistré et actif; la connexion et la session du membre sont séparées de celles du personnel.</w:t>
      </w:r>
    </w:p>
    <w:p>
      <w:pPr>
        <w:pStyle w:val="ListBullet"/>
      </w:pPr>
      <w:r>
        <w:t>Le membre peut changer son mot de passe, consulter uniquement ses propres abonnements, demandes et paiements, ainsi que les séances disponibles et ses inscriptions.</w:t>
      </w:r>
    </w:p>
    <w:p>
      <w:pPr>
        <w:pStyle w:val="ListBullet"/>
      </w:pPr>
      <w:r>
        <w:t>Le membre peut demander une formule d’abonnement lorsqu’il ne possède pas déjà un abonnement valide et n’a pas de demande en attente. La demande reste EN_ATTENTE; le personnel ne l’approuve qu’après encaissement réel, saisit le montant et le mode reçus, puis l’application crée le paiement et l’abonnement de façon atomique.</w:t>
      </w:r>
    </w:p>
    <w:p>
      <w:pPr>
        <w:pStyle w:val="ListBullet"/>
      </w:pPr>
      <w:r>
        <w:t>Le membre peut s’inscrire à une séance si son abonnement est valide, qu’il reste une place et qu’il n’est pas déjà inscrit; il peut annuler sa propre inscription avant le début de la séance.</w:t>
      </w:r>
    </w:p>
    <w:p>
      <w:pPr>
        <w:pStyle w:val="ListBullet"/>
      </w:pPr>
      <w:r>
        <w:t>Aucune inscription autonome, aucun paiement en ligne, aucun accès web à distance et aucun accès aux dossiers d’un autre membre ne sont inclus.</w:t>
      </w:r>
    </w:p>
    <w:p>
      <w:pPr>
        <w:pStyle w:val="Heading1"/>
      </w:pPr>
      <w:r>
        <w:t>6. Exigences non fonctionnelles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7365D"/>
            <w:vAlign w:val="center"/>
          </w:tcPr>
          <w:p>
            <w:pPr>
              <w:spacing w:after="20" w:before="20"/>
            </w:pPr>
            <w:r/>
            <w:r>
              <w:rPr>
                <w:rFonts w:ascii="Aptos" w:hAnsi="Aptos"/>
                <w:b/>
                <w:color w:val="FFFFFF"/>
                <w:sz w:val="18"/>
              </w:rPr>
              <w:t>Exigence</w:t>
            </w:r>
          </w:p>
        </w:tc>
        <w:tc>
          <w:tcPr>
            <w:tcW w:type="dxa" w:w="4997"/>
            <w:shd w:fill="17365D"/>
            <w:vAlign w:val="center"/>
          </w:tcPr>
          <w:p>
            <w:pPr>
              <w:spacing w:after="20" w:before="20"/>
            </w:pPr>
            <w:r/>
            <w:r>
              <w:rPr>
                <w:rFonts w:ascii="Aptos" w:hAnsi="Aptos"/>
                <w:b/>
                <w:color w:val="FFFFFF"/>
                <w:sz w:val="18"/>
              </w:rPr>
              <w:t>Attendu</w:t>
            </w:r>
          </w:p>
        </w:tc>
      </w:tr>
      <w:tr>
        <w:tc>
          <w:tcPr>
            <w:tcW w:type="dxa" w:w="4997"/>
            <w:vAlign w:val="center"/>
          </w:tcPr>
          <w:p>
            <w:pPr>
              <w:spacing w:after="20" w:before="20"/>
            </w:pPr>
            <w:r/>
            <w:r>
              <w:rPr>
                <w:rFonts w:ascii="Aptos" w:hAnsi="Aptos"/>
                <w:b w:val="0"/>
                <w:color w:val="243447"/>
                <w:sz w:val="18"/>
              </w:rPr>
              <w:t>Sécurité</w:t>
            </w:r>
          </w:p>
        </w:tc>
        <w:tc>
          <w:tcPr>
            <w:tcW w:type="dxa" w:w="4997"/>
            <w:vAlign w:val="center"/>
          </w:tcPr>
          <w:p>
            <w:r>
              <w:t>Droits appliqués par rôle; mot de passe du personnel modifiable par son propriétaire après vérification; mots de passe hachés; validation des entrées et erreurs communiquées clairement.</w:t>
            </w:r>
          </w:p>
        </w:tc>
      </w:tr>
      <w:tr>
        <w:tc>
          <w:tcPr>
            <w:tcW w:type="dxa" w:w="4997"/>
            <w:shd w:fill="F2F6F9"/>
            <w:vAlign w:val="center"/>
          </w:tcPr>
          <w:p>
            <w:pPr>
              <w:spacing w:after="20" w:before="20"/>
            </w:pPr>
            <w:r/>
            <w:r>
              <w:rPr>
                <w:rFonts w:ascii="Aptos" w:hAnsi="Aptos"/>
                <w:b w:val="0"/>
                <w:color w:val="243447"/>
                <w:sz w:val="18"/>
              </w:rPr>
              <w:t>Ergonomie</w:t>
            </w:r>
          </w:p>
        </w:tc>
        <w:tc>
          <w:tcPr>
            <w:tcW w:type="dxa" w:w="4997"/>
            <w:shd w:fill="F2F6F9"/>
            <w:vAlign w:val="center"/>
          </w:tcPr>
          <w:p>
            <w:pPr>
              <w:spacing w:after="20" w:before="20"/>
            </w:pPr>
            <w:r/>
            <w:r>
              <w:rPr>
                <w:rFonts w:ascii="Aptos" w:hAnsi="Aptos"/>
                <w:b w:val="0"/>
                <w:color w:val="243447"/>
                <w:sz w:val="18"/>
              </w:rPr>
              <w:t>Interface JavaFX cohérente, lisible et adaptée aux tâches quotidiennes de la réception et de l’administration.</w:t>
            </w:r>
          </w:p>
        </w:tc>
      </w:tr>
      <w:tr>
        <w:tc>
          <w:tcPr>
            <w:tcW w:type="dxa" w:w="4997"/>
            <w:vAlign w:val="center"/>
          </w:tcPr>
          <w:p>
            <w:pPr>
              <w:spacing w:after="20" w:before="20"/>
            </w:pPr>
            <w:r/>
            <w:r>
              <w:rPr>
                <w:rFonts w:ascii="Aptos" w:hAnsi="Aptos"/>
                <w:b w:val="0"/>
                <w:color w:val="243447"/>
                <w:sz w:val="18"/>
              </w:rPr>
              <w:t>Performance</w:t>
            </w:r>
          </w:p>
        </w:tc>
        <w:tc>
          <w:tcPr>
            <w:tcW w:type="dxa" w:w="4997"/>
            <w:vAlign w:val="center"/>
          </w:tcPr>
          <w:p>
            <w:pPr>
              <w:spacing w:after="20" w:before="20"/>
            </w:pPr>
            <w:r/>
            <w:r>
              <w:rPr>
                <w:rFonts w:ascii="Aptos" w:hAnsi="Aptos"/>
                <w:b w:val="0"/>
                <w:color w:val="243447"/>
                <w:sz w:val="18"/>
              </w:rPr>
              <w:t>Recherche, consultation et opérations courantes suffisamment rapides pour une utilisation au comptoir.</w:t>
            </w:r>
          </w:p>
        </w:tc>
      </w:tr>
      <w:tr>
        <w:tc>
          <w:tcPr>
            <w:tcW w:type="dxa" w:w="4997"/>
            <w:shd w:fill="F2F6F9"/>
            <w:vAlign w:val="center"/>
          </w:tcPr>
          <w:p>
            <w:pPr>
              <w:spacing w:after="20" w:before="20"/>
            </w:pPr>
            <w:r/>
            <w:r>
              <w:rPr>
                <w:rFonts w:ascii="Aptos" w:hAnsi="Aptos"/>
                <w:b w:val="0"/>
                <w:color w:val="243447"/>
                <w:sz w:val="18"/>
              </w:rPr>
              <w:t>Fiabilité</w:t>
            </w:r>
          </w:p>
        </w:tc>
        <w:tc>
          <w:tcPr>
            <w:tcW w:type="dxa" w:w="4997"/>
            <w:shd w:fill="F2F6F9"/>
            <w:vAlign w:val="center"/>
          </w:tcPr>
          <w:p>
            <w:pPr>
              <w:spacing w:after="20" w:before="20"/>
            </w:pPr>
            <w:r/>
            <w:r>
              <w:rPr>
                <w:rFonts w:ascii="Aptos" w:hAnsi="Aptos"/>
                <w:b w:val="0"/>
                <w:color w:val="243447"/>
                <w:sz w:val="18"/>
              </w:rPr>
              <w:t>Respect des clés étrangères et des transactions; aucune opération partielle silencieuse; messages d’erreur explicites.</w:t>
            </w:r>
          </w:p>
        </w:tc>
      </w:tr>
      <w:tr>
        <w:tc>
          <w:tcPr>
            <w:tcW w:type="dxa" w:w="4997"/>
            <w:vAlign w:val="center"/>
          </w:tcPr>
          <w:p>
            <w:pPr>
              <w:spacing w:after="20" w:before="20"/>
            </w:pPr>
            <w:r/>
            <w:r>
              <w:rPr>
                <w:rFonts w:ascii="Aptos" w:hAnsi="Aptos"/>
                <w:b w:val="0"/>
                <w:color w:val="243447"/>
                <w:sz w:val="18"/>
              </w:rPr>
              <w:t>Maintenabilité</w:t>
            </w:r>
          </w:p>
        </w:tc>
        <w:tc>
          <w:tcPr>
            <w:tcW w:type="dxa" w:w="4997"/>
            <w:vAlign w:val="center"/>
          </w:tcPr>
          <w:p>
            <w:pPr>
              <w:spacing w:after="20" w:before="20"/>
            </w:pPr>
            <w:r/>
            <w:r>
              <w:rPr>
                <w:rFonts w:ascii="Aptos" w:hAnsi="Aptos"/>
                <w:b w:val="0"/>
                <w:color w:val="243447"/>
                <w:sz w:val="18"/>
              </w:rPr>
              <w:t>Séparation MVC, services métier et DAO; limiter le couplage entre écrans et accès MySQL.</w:t>
            </w:r>
          </w:p>
        </w:tc>
      </w:tr>
      <w:tr>
        <w:tc>
          <w:tcPr>
            <w:tcW w:type="dxa" w:w="4997"/>
            <w:shd w:fill="F2F6F9"/>
            <w:vAlign w:val="center"/>
          </w:tcPr>
          <w:p>
            <w:pPr>
              <w:spacing w:after="20" w:before="20"/>
            </w:pPr>
            <w:r/>
            <w:r>
              <w:rPr>
                <w:rFonts w:ascii="Aptos" w:hAnsi="Aptos"/>
                <w:b w:val="0"/>
                <w:color w:val="243447"/>
                <w:sz w:val="18"/>
              </w:rPr>
              <w:t>Évolutivité</w:t>
            </w:r>
          </w:p>
        </w:tc>
        <w:tc>
          <w:tcPr>
            <w:tcW w:type="dxa" w:w="4997"/>
            <w:shd w:fill="F2F6F9"/>
            <w:vAlign w:val="center"/>
          </w:tcPr>
          <w:p>
            <w:r>
              <w:t>Ajouter des évolutions par modules et migrations additives; ne pas remanier les tables actuelles pour l’espace membre.</w:t>
            </w:r>
          </w:p>
        </w:tc>
      </w:tr>
    </w:tbl>
    <w:p>
      <w:pPr>
        <w:spacing w:after="0"/>
      </w:pPr>
    </w:p>
    <w:p>
      <w:pPr>
        <w:pStyle w:val="Heading1"/>
      </w:pPr>
      <w:r>
        <w:t>7. Architecture et technologies</w:t>
      </w:r>
    </w:p>
    <w:p>
      <w:r>
        <w:rPr>
          <w:i w:val="0"/>
        </w:rPr>
        <w:t>Architecture retenue : MVC, complétée par une couche service et des DAO JDBC, selon l’organisation du projet.</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7365D"/>
            <w:vAlign w:val="center"/>
          </w:tcPr>
          <w:p>
            <w:pPr>
              <w:spacing w:after="20" w:before="20"/>
            </w:pPr>
            <w:r/>
            <w:r>
              <w:rPr>
                <w:rFonts w:ascii="Aptos" w:hAnsi="Aptos"/>
                <w:b/>
                <w:color w:val="FFFFFF"/>
                <w:sz w:val="18"/>
              </w:rPr>
              <w:t>Couche</w:t>
            </w:r>
          </w:p>
        </w:tc>
        <w:tc>
          <w:tcPr>
            <w:tcW w:type="dxa" w:w="4997"/>
            <w:shd w:fill="17365D"/>
            <w:vAlign w:val="center"/>
          </w:tcPr>
          <w:p>
            <w:pPr>
              <w:spacing w:after="20" w:before="20"/>
            </w:pPr>
            <w:r/>
            <w:r>
              <w:rPr>
                <w:rFonts w:ascii="Aptos" w:hAnsi="Aptos"/>
                <w:b/>
                <w:color w:val="FFFFFF"/>
                <w:sz w:val="18"/>
              </w:rPr>
              <w:t>Responsabilité</w:t>
            </w:r>
          </w:p>
        </w:tc>
      </w:tr>
      <w:tr>
        <w:tc>
          <w:tcPr>
            <w:tcW w:type="dxa" w:w="4997"/>
            <w:vAlign w:val="center"/>
          </w:tcPr>
          <w:p>
            <w:pPr>
              <w:spacing w:after="20" w:before="20"/>
            </w:pPr>
            <w:r/>
            <w:r>
              <w:rPr>
                <w:rFonts w:ascii="Aptos" w:hAnsi="Aptos"/>
                <w:b w:val="0"/>
                <w:color w:val="243447"/>
                <w:sz w:val="18"/>
              </w:rPr>
              <w:t>Vue</w:t>
            </w:r>
          </w:p>
        </w:tc>
        <w:tc>
          <w:tcPr>
            <w:tcW w:type="dxa" w:w="4997"/>
            <w:vAlign w:val="center"/>
          </w:tcPr>
          <w:p>
            <w:r>
              <w:t>Écrans du personnel conservés; connexion et espace JavaFX membre séparés pour ses abonnements, demandes, séances et paiements personnels.</w:t>
            </w:r>
          </w:p>
        </w:tc>
      </w:tr>
      <w:tr>
        <w:tc>
          <w:tcPr>
            <w:tcW w:type="dxa" w:w="4997"/>
            <w:shd w:fill="F2F6F9"/>
            <w:vAlign w:val="center"/>
          </w:tcPr>
          <w:p>
            <w:pPr>
              <w:spacing w:after="20" w:before="20"/>
            </w:pPr>
            <w:r/>
            <w:r>
              <w:rPr>
                <w:rFonts w:ascii="Aptos" w:hAnsi="Aptos"/>
                <w:b w:val="0"/>
                <w:color w:val="243447"/>
                <w:sz w:val="18"/>
              </w:rPr>
              <w:t>Contrôleurs</w:t>
            </w:r>
          </w:p>
        </w:tc>
        <w:tc>
          <w:tcPr>
            <w:tcW w:type="dxa" w:w="4997"/>
            <w:shd w:fill="F2F6F9"/>
            <w:vAlign w:val="center"/>
          </w:tcPr>
          <w:p>
            <w:pPr>
              <w:spacing w:after="20" w:before="20"/>
            </w:pPr>
            <w:r/>
            <w:r>
              <w:rPr>
                <w:rFonts w:ascii="Aptos" w:hAnsi="Aptos"/>
                <w:b w:val="0"/>
                <w:color w:val="243447"/>
                <w:sz w:val="18"/>
              </w:rPr>
              <w:t>Traiter les actions de l’interface et appeler les services.</w:t>
            </w:r>
          </w:p>
        </w:tc>
      </w:tr>
      <w:tr>
        <w:tc>
          <w:tcPr>
            <w:tcW w:type="dxa" w:w="4997"/>
            <w:vAlign w:val="center"/>
          </w:tcPr>
          <w:p>
            <w:pPr>
              <w:spacing w:after="20" w:before="20"/>
            </w:pPr>
            <w:r/>
            <w:r>
              <w:rPr>
                <w:rFonts w:ascii="Aptos" w:hAnsi="Aptos"/>
                <w:b w:val="0"/>
                <w:color w:val="243447"/>
                <w:sz w:val="18"/>
              </w:rPr>
              <w:t>Services / modèle</w:t>
            </w:r>
          </w:p>
        </w:tc>
        <w:tc>
          <w:tcPr>
            <w:tcW w:type="dxa" w:w="4997"/>
            <w:vAlign w:val="center"/>
          </w:tcPr>
          <w:p>
            <w:pPr>
              <w:spacing w:after="20" w:before="20"/>
            </w:pPr>
            <w:r/>
            <w:r>
              <w:rPr>
                <w:rFonts w:ascii="Aptos" w:hAnsi="Aptos"/>
                <w:b w:val="0"/>
                <w:color w:val="243447"/>
                <w:sz w:val="18"/>
              </w:rPr>
              <w:t>Appliquer les règles métier et représenter les entités utilisées par l’application.</w:t>
            </w:r>
          </w:p>
        </w:tc>
      </w:tr>
      <w:tr>
        <w:tc>
          <w:tcPr>
            <w:tcW w:type="dxa" w:w="4997"/>
            <w:shd w:fill="F2F6F9"/>
            <w:vAlign w:val="center"/>
          </w:tcPr>
          <w:p>
            <w:pPr>
              <w:spacing w:after="20" w:before="20"/>
            </w:pPr>
            <w:r/>
            <w:r>
              <w:rPr>
                <w:rFonts w:ascii="Aptos" w:hAnsi="Aptos"/>
                <w:b w:val="0"/>
                <w:color w:val="243447"/>
                <w:sz w:val="18"/>
              </w:rPr>
              <w:t>DAO / JDBC</w:t>
            </w:r>
          </w:p>
        </w:tc>
        <w:tc>
          <w:tcPr>
            <w:tcW w:type="dxa" w:w="4997"/>
            <w:shd w:fill="F2F6F9"/>
            <w:vAlign w:val="center"/>
          </w:tcPr>
          <w:p>
            <w:pPr>
              <w:spacing w:after="20" w:before="20"/>
            </w:pPr>
            <w:r/>
            <w:r>
              <w:rPr>
                <w:rFonts w:ascii="Aptos" w:hAnsi="Aptos"/>
                <w:b w:val="0"/>
                <w:color w:val="243447"/>
                <w:sz w:val="18"/>
              </w:rPr>
              <w:t>Lire et écrire les données par des requêtes adaptées au schéma actuel.</w:t>
            </w:r>
          </w:p>
        </w:tc>
      </w:tr>
      <w:tr>
        <w:tc>
          <w:tcPr>
            <w:tcW w:type="dxa" w:w="4997"/>
            <w:vAlign w:val="center"/>
          </w:tcPr>
          <w:p>
            <w:pPr>
              <w:spacing w:after="20" w:before="20"/>
            </w:pPr>
            <w:r/>
            <w:r>
              <w:rPr>
                <w:rFonts w:ascii="Aptos" w:hAnsi="Aptos"/>
                <w:b w:val="0"/>
                <w:color w:val="243447"/>
                <w:sz w:val="18"/>
              </w:rPr>
              <w:t>Persistance</w:t>
            </w:r>
          </w:p>
        </w:tc>
        <w:tc>
          <w:tcPr>
            <w:tcW w:type="dxa" w:w="4997"/>
            <w:vAlign w:val="center"/>
          </w:tcPr>
          <w:p>
            <w:r>
              <w:t>Schéma MySQL/MariaDB actuel conservé; migration explicite ajoutant deux tables isolées pour l’espace membre.</w:t>
            </w:r>
          </w:p>
        </w:tc>
      </w:tr>
    </w:tbl>
    <w:p>
      <w:pPr>
        <w:spacing w:after="0"/>
      </w:pPr>
    </w:p>
    <w:p>
      <w:r>
        <w:rPr>
          <w:i w:val="0"/>
        </w:rPr>
        <w:t>Chaîne logique : JavaFX (View) → Controllers → Services / Model → DAO / JDBC → MySQL.</w:t>
      </w:r>
    </w:p>
    <w:p>
      <w:r>
        <w:rPr>
          <w:i w:val="0"/>
        </w:rPr>
        <w:t>Technologies de référence : Java 21, JavaFX 21, MySQL Connector/J, JDBC, Maven et Git. L’environnement de développement peut être IntelliJ IDEA ou NetBeans; la base locale peut être exécutée avec MySQL/MariaDB, par exemple via XAMPP.</w:t>
      </w:r>
    </w:p>
    <w:p>
      <w:pPr>
        <w:pStyle w:val="Heading1"/>
      </w:pPr>
      <w:r>
        <w:t>8. Base de données — schéma actuel conservé</w:t>
      </w:r>
    </w:p>
    <w:p>
      <w:r>
        <w:t>La description ci-dessous reprend le schéma présent dans src/main/java/com/gss/gss/database/database.sql. Ce schéma et ses tables restent inchangés. Pour activer l’espace membre, le script séparé member-portal-migration.sql ajoute deux tables complémentaires sans modifier ni convertir les données existantes.</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shd w:fill="17365D"/>
            <w:vAlign w:val="center"/>
          </w:tcPr>
          <w:p>
            <w:pPr>
              <w:spacing w:after="20" w:before="20"/>
            </w:pPr>
            <w:r/>
            <w:r>
              <w:rPr>
                <w:rFonts w:ascii="Aptos" w:hAnsi="Aptos"/>
                <w:b/>
                <w:color w:val="FFFFFF"/>
                <w:sz w:val="17"/>
              </w:rPr>
              <w:t>Table existante</w:t>
            </w:r>
          </w:p>
        </w:tc>
        <w:tc>
          <w:tcPr>
            <w:tcW w:type="dxa" w:w="4997"/>
            <w:shd w:fill="17365D"/>
            <w:vAlign w:val="center"/>
          </w:tcPr>
          <w:p>
            <w:pPr>
              <w:spacing w:after="20" w:before="20"/>
            </w:pPr>
            <w:r/>
            <w:r>
              <w:rPr>
                <w:rFonts w:ascii="Aptos" w:hAnsi="Aptos"/>
                <w:b/>
                <w:color w:val="FFFFFF"/>
                <w:sz w:val="17"/>
              </w:rPr>
              <w:t>Données principales / rôle</w:t>
            </w:r>
          </w:p>
        </w:tc>
      </w:tr>
      <w:tr>
        <w:tc>
          <w:tcPr>
            <w:tcW w:type="dxa" w:w="4997"/>
            <w:vAlign w:val="center"/>
          </w:tcPr>
          <w:p>
            <w:pPr>
              <w:spacing w:after="20" w:before="20"/>
            </w:pPr>
            <w:r/>
            <w:r>
              <w:rPr>
                <w:rFonts w:ascii="Aptos" w:hAnsi="Aptos"/>
                <w:b w:val="0"/>
                <w:color w:val="243447"/>
                <w:sz w:val="17"/>
              </w:rPr>
              <w:t>utilisateurs</w:t>
            </w:r>
          </w:p>
        </w:tc>
        <w:tc>
          <w:tcPr>
            <w:tcW w:type="dxa" w:w="4997"/>
            <w:vAlign w:val="center"/>
          </w:tcPr>
          <w:p>
            <w:pPr>
              <w:spacing w:after="20" w:before="20"/>
            </w:pPr>
            <w:r/>
            <w:r>
              <w:rPr>
                <w:rFonts w:ascii="Aptos" w:hAnsi="Aptos"/>
                <w:b w:val="0"/>
                <w:color w:val="243447"/>
                <w:sz w:val="17"/>
              </w:rPr>
              <w:t>Compte du personnel : username, mot de passe, type ADMINISTRATEUR/RECEPTIONNISTE/COACH, statut et date de création.</w:t>
            </w:r>
          </w:p>
        </w:tc>
      </w:tr>
      <w:tr>
        <w:tc>
          <w:tcPr>
            <w:tcW w:type="dxa" w:w="4997"/>
            <w:shd w:fill="F2F6F9"/>
            <w:vAlign w:val="center"/>
          </w:tcPr>
          <w:p>
            <w:pPr>
              <w:spacing w:after="20" w:before="20"/>
            </w:pPr>
            <w:r/>
            <w:r>
              <w:rPr>
                <w:rFonts w:ascii="Aptos" w:hAnsi="Aptos"/>
                <w:b w:val="0"/>
                <w:color w:val="243447"/>
                <w:sz w:val="17"/>
              </w:rPr>
              <w:t>administrateurs</w:t>
            </w:r>
          </w:p>
        </w:tc>
        <w:tc>
          <w:tcPr>
            <w:tcW w:type="dxa" w:w="4997"/>
            <w:shd w:fill="F2F6F9"/>
            <w:vAlign w:val="center"/>
          </w:tcPr>
          <w:p>
            <w:pPr>
              <w:spacing w:after="20" w:before="20"/>
            </w:pPr>
            <w:r/>
            <w:r>
              <w:rPr>
                <w:rFonts w:ascii="Aptos" w:hAnsi="Aptos"/>
                <w:b w:val="0"/>
                <w:color w:val="243447"/>
                <w:sz w:val="17"/>
              </w:rPr>
              <w:t>Niveau d’accès associé au compte utilisateur.</w:t>
            </w:r>
          </w:p>
        </w:tc>
      </w:tr>
      <w:tr>
        <w:tc>
          <w:tcPr>
            <w:tcW w:type="dxa" w:w="4997"/>
            <w:vAlign w:val="center"/>
          </w:tcPr>
          <w:p>
            <w:pPr>
              <w:spacing w:after="20" w:before="20"/>
            </w:pPr>
            <w:r/>
            <w:r>
              <w:rPr>
                <w:rFonts w:ascii="Aptos" w:hAnsi="Aptos"/>
                <w:b w:val="0"/>
                <w:color w:val="243447"/>
                <w:sz w:val="17"/>
              </w:rPr>
              <w:t>receptionnistes</w:t>
            </w:r>
          </w:p>
        </w:tc>
        <w:tc>
          <w:tcPr>
            <w:tcW w:type="dxa" w:w="4997"/>
            <w:vAlign w:val="center"/>
          </w:tcPr>
          <w:p>
            <w:pPr>
              <w:spacing w:after="20" w:before="20"/>
            </w:pPr>
            <w:r/>
            <w:r>
              <w:rPr>
                <w:rFonts w:ascii="Aptos" w:hAnsi="Aptos"/>
                <w:b w:val="0"/>
                <w:color w:val="243447"/>
                <w:sz w:val="17"/>
              </w:rPr>
              <w:t>Horaire de travail associé au compte utilisateur.</w:t>
            </w:r>
          </w:p>
        </w:tc>
      </w:tr>
      <w:tr>
        <w:tc>
          <w:tcPr>
            <w:tcW w:type="dxa" w:w="4997"/>
            <w:shd w:fill="F2F6F9"/>
            <w:vAlign w:val="center"/>
          </w:tcPr>
          <w:p>
            <w:pPr>
              <w:spacing w:after="20" w:before="20"/>
            </w:pPr>
            <w:r/>
            <w:r>
              <w:rPr>
                <w:rFonts w:ascii="Aptos" w:hAnsi="Aptos"/>
                <w:b w:val="0"/>
                <w:color w:val="243447"/>
                <w:sz w:val="17"/>
              </w:rPr>
              <w:t>coachs</w:t>
            </w:r>
          </w:p>
        </w:tc>
        <w:tc>
          <w:tcPr>
            <w:tcW w:type="dxa" w:w="4997"/>
            <w:shd w:fill="F2F6F9"/>
            <w:vAlign w:val="center"/>
          </w:tcPr>
          <w:p>
            <w:pPr>
              <w:spacing w:after="20" w:before="20"/>
            </w:pPr>
            <w:r/>
            <w:r>
              <w:rPr>
                <w:rFonts w:ascii="Aptos" w:hAnsi="Aptos"/>
                <w:b w:val="0"/>
                <w:color w:val="243447"/>
                <w:sz w:val="17"/>
              </w:rPr>
              <w:t>Identité et coordonnées du coach, spécialité, salaire et disponibilité; identifiant lié à utilisateurs.</w:t>
            </w:r>
          </w:p>
        </w:tc>
      </w:tr>
      <w:tr>
        <w:tc>
          <w:tcPr>
            <w:tcW w:type="dxa" w:w="4997"/>
            <w:vAlign w:val="center"/>
          </w:tcPr>
          <w:p>
            <w:pPr>
              <w:spacing w:after="20" w:before="20"/>
            </w:pPr>
            <w:r/>
            <w:r>
              <w:rPr>
                <w:rFonts w:ascii="Aptos" w:hAnsi="Aptos"/>
                <w:b w:val="0"/>
                <w:color w:val="243447"/>
                <w:sz w:val="17"/>
              </w:rPr>
              <w:t>membres</w:t>
            </w:r>
          </w:p>
        </w:tc>
        <w:tc>
          <w:tcPr>
            <w:tcW w:type="dxa" w:w="4997"/>
            <w:vAlign w:val="center"/>
          </w:tcPr>
          <w:p>
            <w:pPr>
              <w:spacing w:after="20" w:before="20"/>
            </w:pPr>
            <w:r/>
            <w:r>
              <w:rPr>
                <w:rFonts w:ascii="Aptos" w:hAnsi="Aptos"/>
                <w:b w:val="0"/>
                <w:color w:val="243447"/>
                <w:sz w:val="17"/>
              </w:rPr>
              <w:t>Identité, sexe, date de naissance, coordonnées, date d’inscription et statut.</w:t>
            </w:r>
          </w:p>
        </w:tc>
      </w:tr>
      <w:tr>
        <w:tc>
          <w:tcPr>
            <w:tcW w:type="dxa" w:w="4997"/>
            <w:shd w:fill="F2F6F9"/>
            <w:vAlign w:val="center"/>
          </w:tcPr>
          <w:p>
            <w:pPr>
              <w:spacing w:after="20" w:before="20"/>
            </w:pPr>
            <w:r/>
            <w:r>
              <w:rPr>
                <w:rFonts w:ascii="Aptos" w:hAnsi="Aptos"/>
                <w:b w:val="0"/>
                <w:color w:val="243447"/>
                <w:sz w:val="17"/>
              </w:rPr>
              <w:t>abonnements</w:t>
            </w:r>
          </w:p>
        </w:tc>
        <w:tc>
          <w:tcPr>
            <w:tcW w:type="dxa" w:w="4997"/>
            <w:shd w:fill="F2F6F9"/>
            <w:vAlign w:val="center"/>
          </w:tcPr>
          <w:p>
            <w:pPr>
              <w:spacing w:after="20" w:before="20"/>
            </w:pPr>
            <w:r/>
            <w:r>
              <w:rPr>
                <w:rFonts w:ascii="Aptos" w:hAnsi="Aptos"/>
                <w:b w:val="0"/>
                <w:color w:val="243447"/>
                <w:sz w:val="17"/>
              </w:rPr>
              <w:t>Membre, type, prix, dates de début/fin et statut ACTIF/EXPIRE.</w:t>
            </w:r>
          </w:p>
        </w:tc>
      </w:tr>
      <w:tr>
        <w:tc>
          <w:tcPr>
            <w:tcW w:type="dxa" w:w="4997"/>
            <w:vAlign w:val="center"/>
          </w:tcPr>
          <w:p>
            <w:pPr>
              <w:spacing w:after="20" w:before="20"/>
            </w:pPr>
            <w:r/>
            <w:r>
              <w:rPr>
                <w:rFonts w:ascii="Aptos" w:hAnsi="Aptos"/>
                <w:b w:val="0"/>
                <w:color w:val="243447"/>
                <w:sz w:val="17"/>
              </w:rPr>
              <w:t>seances</w:t>
            </w:r>
          </w:p>
        </w:tc>
        <w:tc>
          <w:tcPr>
            <w:tcW w:type="dxa" w:w="4997"/>
            <w:vAlign w:val="center"/>
          </w:tcPr>
          <w:p>
            <w:pPr>
              <w:spacing w:after="20" w:before="20"/>
            </w:pPr>
            <w:r/>
            <w:r>
              <w:rPr>
                <w:rFonts w:ascii="Aptos" w:hAnsi="Aptos"/>
                <w:b w:val="0"/>
                <w:color w:val="243447"/>
                <w:sz w:val="17"/>
              </w:rPr>
              <w:t>Coach, nom, date, horaires, salle et capacité.</w:t>
            </w:r>
          </w:p>
        </w:tc>
      </w:tr>
      <w:tr>
        <w:tc>
          <w:tcPr>
            <w:tcW w:type="dxa" w:w="4997"/>
            <w:shd w:fill="F2F6F9"/>
            <w:vAlign w:val="center"/>
          </w:tcPr>
          <w:p>
            <w:pPr>
              <w:spacing w:after="20" w:before="20"/>
            </w:pPr>
            <w:r/>
            <w:r>
              <w:rPr>
                <w:rFonts w:ascii="Aptos" w:hAnsi="Aptos"/>
                <w:b w:val="0"/>
                <w:color w:val="243447"/>
                <w:sz w:val="17"/>
              </w:rPr>
              <w:t>inscriptions_seances</w:t>
            </w:r>
          </w:p>
        </w:tc>
        <w:tc>
          <w:tcPr>
            <w:tcW w:type="dxa" w:w="4997"/>
            <w:shd w:fill="F2F6F9"/>
            <w:vAlign w:val="center"/>
          </w:tcPr>
          <w:p>
            <w:pPr>
              <w:spacing w:after="20" w:before="20"/>
            </w:pPr>
            <w:r/>
            <w:r>
              <w:rPr>
                <w:rFonts w:ascii="Aptos" w:hAnsi="Aptos"/>
                <w:b w:val="0"/>
                <w:color w:val="243447"/>
                <w:sz w:val="17"/>
              </w:rPr>
              <w:t>Membre, séance, date d’inscription et statut CONFIRMEE/ANNULEE/EN_ATTENTE.</w:t>
            </w:r>
          </w:p>
        </w:tc>
      </w:tr>
      <w:tr>
        <w:tc>
          <w:tcPr>
            <w:tcW w:type="dxa" w:w="4997"/>
            <w:vAlign w:val="center"/>
          </w:tcPr>
          <w:p>
            <w:pPr>
              <w:spacing w:after="20" w:before="20"/>
            </w:pPr>
            <w:r/>
            <w:r>
              <w:rPr>
                <w:rFonts w:ascii="Aptos" w:hAnsi="Aptos"/>
                <w:b w:val="0"/>
                <w:color w:val="243447"/>
                <w:sz w:val="17"/>
              </w:rPr>
              <w:t>paiements</w:t>
            </w:r>
          </w:p>
        </w:tc>
        <w:tc>
          <w:tcPr>
            <w:tcW w:type="dxa" w:w="4997"/>
            <w:vAlign w:val="center"/>
          </w:tcPr>
          <w:p>
            <w:pPr>
              <w:spacing w:after="20" w:before="20"/>
            </w:pPr>
            <w:r/>
            <w:r>
              <w:rPr>
                <w:rFonts w:ascii="Aptos" w:hAnsi="Aptos"/>
                <w:b w:val="0"/>
                <w:color w:val="243447"/>
                <w:sz w:val="17"/>
              </w:rPr>
              <w:t>Membre, abonnement, montant, date, mode, statut VALIDE/EN_ATTENTE/ANNULE et référence.</w:t>
            </w:r>
          </w:p>
        </w:tc>
      </w:tr>
    </w:tbl>
    <w:p>
      <w:pPr>
        <w:spacing w:after="0"/>
      </w:pPr>
    </w:p>
    <w:p>
      <w:pPr>
        <w:pStyle w:val="Heading2"/>
      </w:pPr>
      <w:r>
        <w:t>8.1 Limites connues du schéma actuel</w:t>
      </w:r>
    </w:p>
    <w:p>
      <w:pPr>
        <w:pStyle w:val="ListBullet"/>
        <w:spacing w:after="40"/>
      </w:pPr>
      <w:r>
        <w:t>La table utilisateurs continue de gérer uniquement le personnel; les comptes membres sont isolés dans comptes_membres et liés à un membre existant.</w:t>
      </w:r>
    </w:p>
    <w:p>
      <w:pPr>
        <w:pStyle w:val="ListBullet"/>
        <w:spacing w:after="40"/>
      </w:pPr>
      <w:r>
        <w:t>Les abonnements portent directement le type et le prix; aucune table de formules séparée n’est présente.</w:t>
      </w:r>
    </w:p>
    <w:p>
      <w:pPr>
        <w:pStyle w:val="ListBullet"/>
        <w:spacing w:after="40"/>
      </w:pPr>
      <w:r>
        <w:t>Les statuts d’abonnement ne comprennent que ACTIF et EXPIRE; la suspension n’est pas modélisée.</w:t>
      </w:r>
    </w:p>
    <w:p>
      <w:pPr>
        <w:pStyle w:val="ListBullet"/>
        <w:spacing w:after="40"/>
      </w:pPr>
      <w:r>
        <w:t>Aucune table de factures, programmes d’entraînement ou présences n’est définie.</w:t>
      </w:r>
    </w:p>
    <w:p>
      <w:pPr>
        <w:pStyle w:val="ListBullet"/>
        <w:spacing w:after="40"/>
      </w:pPr>
      <w:r>
        <w:t>La séance n’a pas de colonne dédiée à son type ni à son statut.</w:t>
      </w:r>
    </w:p>
    <w:p>
      <w:pPr>
        <w:pStyle w:val="ListBullet"/>
        <w:spacing w:after="40"/>
      </w:pPr>
      <w:r>
        <w:t>Les paiements ne portent pas les états échec/remboursé et ne disposent pas d’un identifiant de facture.</w:t>
      </w:r>
    </w:p>
    <w:p>
      <w:r>
        <w:t>Conséquence de cadrage : l’espace membre s’appuie uniquement sur des tables complémentaires versionnées dans le script de migration. Les autres fonctions différées ne doivent pas être simulées par des colonnes improvisées ni par une extension du rôle du personnel.</w:t>
      </w:r>
    </w:p>
    <w:p>
      <w:pPr>
        <w:pStyle w:val="Heading2"/>
      </w:pPr>
      <w:r>
        <w:t>8.2 Extension additive pour l’espace membre</w:t>
      </w:r>
    </w:p>
    <w:p>
      <w:pPr/>
      <w:r>
        <w:t>Le script src/main/java/com/gss/gss/database/member-portal-migration.sql crée deux tables complémentaires. Il ne contient ni ALTER TABLE sur les tables métier existantes, ni copie ou conversion de données. Il doit être appliqué explicitement après sauvegarde de la base.</w:t>
      </w:r>
    </w:p>
    <w:tbl>
      <w:tblPr>
        <w:tblStyle w:val="TableGrid"/>
        <w:tblW w:type="auto" w:w="0"/>
        <w:tblLayout w:type="autofit"/>
        <w:tblLook w:firstColumn="1" w:firstRow="1" w:lastColumn="0" w:lastRow="0" w:noHBand="0" w:noVBand="1" w:val="04A0"/>
      </w:tblPr>
      <w:tblGrid>
        <w:gridCol w:w="4997"/>
        <w:gridCol w:w="4997"/>
      </w:tblGrid>
      <w:tr>
        <w:tc>
          <w:tcPr>
            <w:tcW w:type="dxa" w:w="4997"/>
            <w:shd w:fill="17365D"/>
          </w:tcPr>
          <w:p>
            <w:r>
              <w:rPr>
                <w:b/>
                <w:color w:val="FFFFFF"/>
                <w:sz w:val="18"/>
              </w:rPr>
              <w:t>Nouvelle table</w:t>
            </w:r>
          </w:p>
        </w:tc>
        <w:tc>
          <w:tcPr>
            <w:tcW w:type="dxa" w:w="4997"/>
            <w:shd w:fill="17365D"/>
          </w:tcPr>
          <w:p>
            <w:r>
              <w:rPr>
                <w:b/>
                <w:color w:val="FFFFFF"/>
                <w:sz w:val="18"/>
              </w:rPr>
              <w:t>Rôle</w:t>
            </w:r>
          </w:p>
        </w:tc>
      </w:tr>
      <w:tr>
        <w:tc>
          <w:tcPr>
            <w:tcW w:type="dxa" w:w="4997"/>
          </w:tcPr>
          <w:p>
            <w:r>
              <w:rPr>
                <w:sz w:val="18"/>
              </w:rPr>
              <w:t>comptes_membres</w:t>
            </w:r>
          </w:p>
        </w:tc>
        <w:tc>
          <w:tcPr>
            <w:tcW w:type="dxa" w:w="4997"/>
          </w:tcPr>
          <w:p>
            <w:r>
              <w:rPr>
                <w:sz w:val="18"/>
              </w:rPr>
              <w:t>Identifiant et hash BCrypt liés à un membre existant; état du compte. Les noms d’utilisateur sont uniques.</w:t>
            </w:r>
          </w:p>
        </w:tc>
      </w:tr>
      <w:tr>
        <w:tc>
          <w:tcPr>
            <w:tcW w:type="dxa" w:w="4997"/>
          </w:tcPr>
          <w:p>
            <w:r>
              <w:rPr>
                <w:sz w:val="18"/>
              </w:rPr>
              <w:t>demandes_abonnement</w:t>
            </w:r>
          </w:p>
        </w:tc>
        <w:tc>
          <w:tcPr>
            <w:tcW w:type="dxa" w:w="4997"/>
          </w:tcPr>
          <w:p>
            <w:r>
              <w:rPr>
                <w:sz w:val="18"/>
              </w:rPr>
              <w:t>Demandes du membre, formule, état EN_ATTENTE/APPROUVEE/REFUSEE, dates de traitement, personnel traitant et abonnement créé après approbation.</w:t>
            </w:r>
          </w:p>
        </w:tc>
      </w:tr>
    </w:tbl>
    <w:p>
      <w:pPr>
        <w:pStyle w:val="Heading1"/>
      </w:pPr>
      <w:r>
        <w:t>9. Conception, planning et livrables</w:t>
      </w:r>
    </w:p>
    <w:p>
      <w:pPr>
        <w:pStyle w:val="Heading2"/>
      </w:pPr>
      <w:r>
        <w:t>9.1 Diagrammes à produire ou tenir à jour</w:t>
      </w:r>
    </w:p>
    <w:p>
      <w:pPr>
        <w:pStyle w:val="ListBullet"/>
        <w:spacing w:after="40"/>
      </w:pPr>
      <w:r>
        <w:t>Diagramme de cas d’utilisation.</w:t>
      </w:r>
    </w:p>
    <w:p>
      <w:pPr>
        <w:pStyle w:val="ListBullet"/>
        <w:spacing w:after="40"/>
      </w:pPr>
      <w:r>
        <w:t>Diagramme de classes cohérent avec les tables actuelles.</w:t>
      </w:r>
    </w:p>
    <w:p>
      <w:pPr>
        <w:pStyle w:val="ListBullet"/>
        <w:spacing w:after="40"/>
      </w:pPr>
      <w:r>
        <w:t>Diagrammes de séquence des parcours principaux : connexion, création/renouvellement d’abonnement, paiement et inscription à une séance.</w:t>
      </w:r>
    </w:p>
    <w:p>
      <w:pPr>
        <w:pStyle w:val="ListBullet"/>
        <w:spacing w:after="40"/>
      </w:pPr>
      <w:r>
        <w:t>Diagramme d’activités et diagramme d’états si utiles pour préciser les règles métier.</w:t>
      </w:r>
    </w:p>
    <w:p>
      <w:pPr>
        <w:pStyle w:val="ListBullet"/>
        <w:spacing w:after="40"/>
      </w:pPr>
      <w:r>
        <w:t>Les diagrammes de composants et de déploiement restent optionnels.</w:t>
      </w:r>
    </w:p>
    <w:p>
      <w:pPr>
        <w:pStyle w:val="Heading2"/>
      </w:pPr>
      <w:r>
        <w:t>9.2 Planning indicatif</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shd w:fill="17365D"/>
            <w:vAlign w:val="center"/>
          </w:tcPr>
          <w:p>
            <w:pPr>
              <w:spacing w:after="20" w:before="20"/>
            </w:pPr>
            <w:r/>
            <w:r>
              <w:rPr>
                <w:rFonts w:ascii="Aptos" w:hAnsi="Aptos"/>
                <w:b/>
                <w:color w:val="FFFFFF"/>
                <w:sz w:val="18"/>
              </w:rPr>
              <w:t>Étape</w:t>
            </w:r>
          </w:p>
        </w:tc>
        <w:tc>
          <w:tcPr>
            <w:tcW w:type="dxa" w:w="3331"/>
            <w:shd w:fill="17365D"/>
            <w:vAlign w:val="center"/>
          </w:tcPr>
          <w:p>
            <w:pPr>
              <w:spacing w:after="20" w:before="20"/>
            </w:pPr>
            <w:r/>
            <w:r>
              <w:rPr>
                <w:rFonts w:ascii="Aptos" w:hAnsi="Aptos"/>
                <w:b/>
                <w:color w:val="FFFFFF"/>
                <w:sz w:val="18"/>
              </w:rPr>
              <w:t>Activité</w:t>
            </w:r>
          </w:p>
        </w:tc>
        <w:tc>
          <w:tcPr>
            <w:tcW w:type="dxa" w:w="3331"/>
            <w:shd w:fill="17365D"/>
            <w:vAlign w:val="center"/>
          </w:tcPr>
          <w:p>
            <w:pPr>
              <w:spacing w:after="20" w:before="20"/>
            </w:pPr>
            <w:r/>
            <w:r>
              <w:rPr>
                <w:rFonts w:ascii="Aptos" w:hAnsi="Aptos"/>
                <w:b/>
                <w:color w:val="FFFFFF"/>
                <w:sz w:val="18"/>
              </w:rPr>
              <w:t>Durée indicative</w:t>
            </w:r>
          </w:p>
        </w:tc>
      </w:tr>
      <w:tr>
        <w:tc>
          <w:tcPr>
            <w:tcW w:type="dxa" w:w="3331"/>
            <w:vAlign w:val="center"/>
          </w:tcPr>
          <w:p>
            <w:pPr>
              <w:spacing w:after="20" w:before="20"/>
            </w:pPr>
            <w:r/>
            <w:r>
              <w:rPr>
                <w:rFonts w:ascii="Aptos" w:hAnsi="Aptos"/>
                <w:b w:val="0"/>
                <w:color w:val="243447"/>
                <w:sz w:val="18"/>
              </w:rPr>
              <w:t>1</w:t>
            </w:r>
          </w:p>
        </w:tc>
        <w:tc>
          <w:tcPr>
            <w:tcW w:type="dxa" w:w="3331"/>
            <w:vAlign w:val="center"/>
          </w:tcPr>
          <w:p>
            <w:pPr>
              <w:spacing w:after="20" w:before="20"/>
            </w:pPr>
            <w:r/>
            <w:r>
              <w:rPr>
                <w:rFonts w:ascii="Aptos" w:hAnsi="Aptos"/>
                <w:b w:val="0"/>
                <w:color w:val="243447"/>
                <w:sz w:val="18"/>
              </w:rPr>
              <w:t>Validation du périmètre et des règles existantes</w:t>
            </w:r>
          </w:p>
        </w:tc>
        <w:tc>
          <w:tcPr>
            <w:tcW w:type="dxa" w:w="3331"/>
            <w:vAlign w:val="center"/>
          </w:tcPr>
          <w:p>
            <w:pPr>
              <w:spacing w:after="20" w:before="20"/>
            </w:pPr>
            <w:r/>
            <w:r>
              <w:rPr>
                <w:rFonts w:ascii="Aptos" w:hAnsi="Aptos"/>
                <w:b w:val="0"/>
                <w:color w:val="243447"/>
                <w:sz w:val="18"/>
              </w:rPr>
              <w:t>1 semaine</w:t>
            </w:r>
          </w:p>
        </w:tc>
      </w:tr>
      <w:tr>
        <w:tc>
          <w:tcPr>
            <w:tcW w:type="dxa" w:w="3331"/>
            <w:shd w:fill="F2F6F9"/>
            <w:vAlign w:val="center"/>
          </w:tcPr>
          <w:p>
            <w:pPr>
              <w:spacing w:after="20" w:before="20"/>
            </w:pPr>
            <w:r/>
            <w:r>
              <w:rPr>
                <w:rFonts w:ascii="Aptos" w:hAnsi="Aptos"/>
                <w:b w:val="0"/>
                <w:color w:val="243447"/>
                <w:sz w:val="18"/>
              </w:rPr>
              <w:t>2</w:t>
            </w:r>
          </w:p>
        </w:tc>
        <w:tc>
          <w:tcPr>
            <w:tcW w:type="dxa" w:w="3331"/>
            <w:shd w:fill="F2F6F9"/>
            <w:vAlign w:val="center"/>
          </w:tcPr>
          <w:p>
            <w:pPr>
              <w:spacing w:after="20" w:before="20"/>
            </w:pPr>
            <w:r/>
            <w:r>
              <w:rPr>
                <w:rFonts w:ascii="Aptos" w:hAnsi="Aptos"/>
                <w:b w:val="0"/>
                <w:color w:val="243447"/>
                <w:sz w:val="18"/>
              </w:rPr>
              <w:t>Conception UML alignée sur la base actuelle</w:t>
            </w:r>
          </w:p>
        </w:tc>
        <w:tc>
          <w:tcPr>
            <w:tcW w:type="dxa" w:w="3331"/>
            <w:shd w:fill="F2F6F9"/>
            <w:vAlign w:val="center"/>
          </w:tcPr>
          <w:p>
            <w:pPr>
              <w:spacing w:after="20" w:before="20"/>
            </w:pPr>
            <w:r/>
            <w:r>
              <w:rPr>
                <w:rFonts w:ascii="Aptos" w:hAnsi="Aptos"/>
                <w:b w:val="0"/>
                <w:color w:val="243447"/>
                <w:sz w:val="18"/>
              </w:rPr>
              <w:t>1 semaine</w:t>
            </w:r>
          </w:p>
        </w:tc>
      </w:tr>
      <w:tr>
        <w:tc>
          <w:tcPr>
            <w:tcW w:type="dxa" w:w="3331"/>
            <w:vAlign w:val="center"/>
          </w:tcPr>
          <w:p>
            <w:pPr>
              <w:spacing w:after="20" w:before="20"/>
            </w:pPr>
            <w:r/>
            <w:r>
              <w:rPr>
                <w:rFonts w:ascii="Aptos" w:hAnsi="Aptos"/>
                <w:b w:val="0"/>
                <w:color w:val="243447"/>
                <w:sz w:val="18"/>
              </w:rPr>
              <w:t>3</w:t>
            </w:r>
          </w:p>
        </w:tc>
        <w:tc>
          <w:tcPr>
            <w:tcW w:type="dxa" w:w="3331"/>
            <w:vAlign w:val="center"/>
          </w:tcPr>
          <w:p>
            <w:pPr>
              <w:spacing w:after="20" w:before="20"/>
            </w:pPr>
            <w:r/>
            <w:r>
              <w:rPr>
                <w:rFonts w:ascii="Aptos" w:hAnsi="Aptos"/>
                <w:b w:val="0"/>
                <w:color w:val="243447"/>
                <w:sz w:val="18"/>
              </w:rPr>
              <w:t>Authentification et rôles</w:t>
            </w:r>
          </w:p>
        </w:tc>
        <w:tc>
          <w:tcPr>
            <w:tcW w:type="dxa" w:w="3331"/>
            <w:vAlign w:val="center"/>
          </w:tcPr>
          <w:p>
            <w:pPr>
              <w:spacing w:after="20" w:before="20"/>
            </w:pPr>
            <w:r/>
            <w:r>
              <w:rPr>
                <w:rFonts w:ascii="Aptos" w:hAnsi="Aptos"/>
                <w:b w:val="0"/>
                <w:color w:val="243447"/>
                <w:sz w:val="18"/>
              </w:rPr>
              <w:t>1 semaine</w:t>
            </w:r>
          </w:p>
        </w:tc>
      </w:tr>
      <w:tr>
        <w:tc>
          <w:tcPr>
            <w:tcW w:type="dxa" w:w="3331"/>
            <w:shd w:fill="F2F6F9"/>
            <w:vAlign w:val="center"/>
          </w:tcPr>
          <w:p>
            <w:pPr>
              <w:spacing w:after="20" w:before="20"/>
            </w:pPr>
            <w:r/>
            <w:r>
              <w:rPr>
                <w:rFonts w:ascii="Aptos" w:hAnsi="Aptos"/>
                <w:b w:val="0"/>
                <w:color w:val="243447"/>
                <w:sz w:val="18"/>
              </w:rPr>
              <w:t>4</w:t>
            </w:r>
          </w:p>
        </w:tc>
        <w:tc>
          <w:tcPr>
            <w:tcW w:type="dxa" w:w="3331"/>
            <w:shd w:fill="F2F6F9"/>
            <w:vAlign w:val="center"/>
          </w:tcPr>
          <w:p>
            <w:pPr>
              <w:spacing w:after="20" w:before="20"/>
            </w:pPr>
            <w:r/>
            <w:r>
              <w:rPr>
                <w:rFonts w:ascii="Aptos" w:hAnsi="Aptos"/>
                <w:b w:val="0"/>
                <w:color w:val="243447"/>
                <w:sz w:val="18"/>
              </w:rPr>
              <w:t>Membres et abonnements</w:t>
            </w:r>
          </w:p>
        </w:tc>
        <w:tc>
          <w:tcPr>
            <w:tcW w:type="dxa" w:w="3331"/>
            <w:shd w:fill="F2F6F9"/>
            <w:vAlign w:val="center"/>
          </w:tcPr>
          <w:p>
            <w:pPr>
              <w:spacing w:after="20" w:before="20"/>
            </w:pPr>
            <w:r/>
            <w:r>
              <w:rPr>
                <w:rFonts w:ascii="Aptos" w:hAnsi="Aptos"/>
                <w:b w:val="0"/>
                <w:color w:val="243447"/>
                <w:sz w:val="18"/>
              </w:rPr>
              <w:t>2 semaines</w:t>
            </w:r>
          </w:p>
        </w:tc>
      </w:tr>
      <w:tr>
        <w:tc>
          <w:tcPr>
            <w:tcW w:type="dxa" w:w="3331"/>
            <w:vAlign w:val="center"/>
          </w:tcPr>
          <w:p>
            <w:pPr>
              <w:spacing w:after="20" w:before="20"/>
            </w:pPr>
            <w:r/>
            <w:r>
              <w:rPr>
                <w:rFonts w:ascii="Aptos" w:hAnsi="Aptos"/>
                <w:b w:val="0"/>
                <w:color w:val="243447"/>
                <w:sz w:val="18"/>
              </w:rPr>
              <w:t>5</w:t>
            </w:r>
          </w:p>
        </w:tc>
        <w:tc>
          <w:tcPr>
            <w:tcW w:type="dxa" w:w="3331"/>
            <w:vAlign w:val="center"/>
          </w:tcPr>
          <w:p>
            <w:pPr>
              <w:spacing w:after="20" w:before="20"/>
            </w:pPr>
            <w:r/>
            <w:r>
              <w:rPr>
                <w:rFonts w:ascii="Aptos" w:hAnsi="Aptos"/>
                <w:b w:val="0"/>
                <w:color w:val="243447"/>
                <w:sz w:val="18"/>
              </w:rPr>
              <w:t>Paiements et justificatifs</w:t>
            </w:r>
          </w:p>
        </w:tc>
        <w:tc>
          <w:tcPr>
            <w:tcW w:type="dxa" w:w="3331"/>
            <w:vAlign w:val="center"/>
          </w:tcPr>
          <w:p>
            <w:pPr>
              <w:spacing w:after="20" w:before="20"/>
            </w:pPr>
            <w:r/>
            <w:r>
              <w:rPr>
                <w:rFonts w:ascii="Aptos" w:hAnsi="Aptos"/>
                <w:b w:val="0"/>
                <w:color w:val="243447"/>
                <w:sz w:val="18"/>
              </w:rPr>
              <w:t>1 semaine</w:t>
            </w:r>
          </w:p>
        </w:tc>
      </w:tr>
      <w:tr>
        <w:tc>
          <w:tcPr>
            <w:tcW w:type="dxa" w:w="3331"/>
            <w:shd w:fill="F2F6F9"/>
            <w:vAlign w:val="center"/>
          </w:tcPr>
          <w:p>
            <w:pPr>
              <w:spacing w:after="20" w:before="20"/>
            </w:pPr>
            <w:r/>
            <w:r>
              <w:rPr>
                <w:rFonts w:ascii="Aptos" w:hAnsi="Aptos"/>
                <w:b w:val="0"/>
                <w:color w:val="243447"/>
                <w:sz w:val="18"/>
              </w:rPr>
              <w:t>6</w:t>
            </w:r>
          </w:p>
        </w:tc>
        <w:tc>
          <w:tcPr>
            <w:tcW w:type="dxa" w:w="3331"/>
            <w:shd w:fill="F2F6F9"/>
            <w:vAlign w:val="center"/>
          </w:tcPr>
          <w:p>
            <w:pPr>
              <w:spacing w:after="20" w:before="20"/>
            </w:pPr>
            <w:r/>
            <w:r>
              <w:rPr>
                <w:rFonts w:ascii="Aptos" w:hAnsi="Aptos"/>
                <w:b w:val="0"/>
                <w:color w:val="243447"/>
                <w:sz w:val="18"/>
              </w:rPr>
              <w:t>Coachs, séances et inscriptions</w:t>
            </w:r>
          </w:p>
        </w:tc>
        <w:tc>
          <w:tcPr>
            <w:tcW w:type="dxa" w:w="3331"/>
            <w:shd w:fill="F2F6F9"/>
            <w:vAlign w:val="center"/>
          </w:tcPr>
          <w:p>
            <w:pPr>
              <w:spacing w:after="20" w:before="20"/>
            </w:pPr>
            <w:r/>
            <w:r>
              <w:rPr>
                <w:rFonts w:ascii="Aptos" w:hAnsi="Aptos"/>
                <w:b w:val="0"/>
                <w:color w:val="243447"/>
                <w:sz w:val="18"/>
              </w:rPr>
              <w:t>2 semaines</w:t>
            </w:r>
          </w:p>
        </w:tc>
      </w:tr>
      <w:tr>
        <w:tc>
          <w:tcPr>
            <w:tcW w:type="dxa" w:w="3331"/>
            <w:vAlign w:val="center"/>
          </w:tcPr>
          <w:p>
            <w:pPr>
              <w:spacing w:after="20" w:before="20"/>
            </w:pPr>
            <w:r/>
            <w:r>
              <w:rPr>
                <w:rFonts w:ascii="Aptos" w:hAnsi="Aptos"/>
                <w:b w:val="0"/>
                <w:color w:val="243447"/>
                <w:sz w:val="18"/>
              </w:rPr>
              <w:t>7</w:t>
            </w:r>
          </w:p>
        </w:tc>
        <w:tc>
          <w:tcPr>
            <w:tcW w:type="dxa" w:w="3331"/>
            <w:vAlign w:val="center"/>
          </w:tcPr>
          <w:p>
            <w:pPr>
              <w:spacing w:after="20" w:before="20"/>
            </w:pPr>
            <w:r/>
            <w:r>
              <w:rPr>
                <w:rFonts w:ascii="Aptos" w:hAnsi="Aptos"/>
                <w:b w:val="0"/>
                <w:color w:val="243447"/>
                <w:sz w:val="18"/>
              </w:rPr>
              <w:t>Tableau de bord, recherche et rapports</w:t>
            </w:r>
          </w:p>
        </w:tc>
        <w:tc>
          <w:tcPr>
            <w:tcW w:type="dxa" w:w="3331"/>
            <w:vAlign w:val="center"/>
          </w:tcPr>
          <w:p>
            <w:pPr>
              <w:spacing w:after="20" w:before="20"/>
            </w:pPr>
            <w:r/>
            <w:r>
              <w:rPr>
                <w:rFonts w:ascii="Aptos" w:hAnsi="Aptos"/>
                <w:b w:val="0"/>
                <w:color w:val="243447"/>
                <w:sz w:val="18"/>
              </w:rPr>
              <w:t>1 semaine</w:t>
            </w:r>
          </w:p>
        </w:tc>
      </w:tr>
      <w:tr>
        <w:tc>
          <w:tcPr>
            <w:tcW w:type="dxa" w:w="3331"/>
            <w:shd w:fill="F2F6F9"/>
            <w:vAlign w:val="center"/>
          </w:tcPr>
          <w:p>
            <w:pPr>
              <w:spacing w:after="20" w:before="20"/>
            </w:pPr>
            <w:r/>
            <w:r>
              <w:rPr>
                <w:rFonts w:ascii="Aptos" w:hAnsi="Aptos"/>
                <w:b w:val="0"/>
                <w:color w:val="243447"/>
                <w:sz w:val="18"/>
              </w:rPr>
              <w:t>8</w:t>
            </w:r>
          </w:p>
        </w:tc>
        <w:tc>
          <w:tcPr>
            <w:tcW w:type="dxa" w:w="3331"/>
            <w:shd w:fill="F2F6F9"/>
            <w:vAlign w:val="center"/>
          </w:tcPr>
          <w:p>
            <w:pPr>
              <w:spacing w:after="20" w:before="20"/>
            </w:pPr>
            <w:r/>
            <w:r>
              <w:rPr>
                <w:rFonts w:ascii="Aptos" w:hAnsi="Aptos"/>
                <w:b w:val="0"/>
                <w:color w:val="243447"/>
                <w:sz w:val="18"/>
              </w:rPr>
              <w:t>Tests, corrections et validation</w:t>
            </w:r>
          </w:p>
        </w:tc>
        <w:tc>
          <w:tcPr>
            <w:tcW w:type="dxa" w:w="3331"/>
            <w:shd w:fill="F2F6F9"/>
            <w:vAlign w:val="center"/>
          </w:tcPr>
          <w:p>
            <w:pPr>
              <w:spacing w:after="20" w:before="20"/>
            </w:pPr>
            <w:r/>
            <w:r>
              <w:rPr>
                <w:rFonts w:ascii="Aptos" w:hAnsi="Aptos"/>
                <w:b w:val="0"/>
                <w:color w:val="243447"/>
                <w:sz w:val="18"/>
              </w:rPr>
              <w:t>1 semaine</w:t>
            </w:r>
          </w:p>
        </w:tc>
      </w:tr>
      <w:tr>
        <w:tc>
          <w:tcPr>
            <w:tcW w:type="dxa" w:w="3331"/>
            <w:vAlign w:val="center"/>
          </w:tcPr>
          <w:p>
            <w:pPr>
              <w:spacing w:after="20" w:before="20"/>
            </w:pPr>
            <w:r/>
            <w:r>
              <w:rPr>
                <w:rFonts w:ascii="Aptos" w:hAnsi="Aptos"/>
                <w:b w:val="0"/>
                <w:color w:val="243447"/>
                <w:sz w:val="18"/>
              </w:rPr>
              <w:t>9</w:t>
            </w:r>
          </w:p>
        </w:tc>
        <w:tc>
          <w:tcPr>
            <w:tcW w:type="dxa" w:w="3331"/>
            <w:vAlign w:val="center"/>
          </w:tcPr>
          <w:p>
            <w:pPr>
              <w:spacing w:after="20" w:before="20"/>
            </w:pPr>
            <w:r/>
            <w:r>
              <w:rPr>
                <w:rFonts w:ascii="Aptos" w:hAnsi="Aptos"/>
                <w:b w:val="0"/>
                <w:color w:val="243447"/>
                <w:sz w:val="18"/>
              </w:rPr>
              <w:t>Documentation et livraison</w:t>
            </w:r>
          </w:p>
        </w:tc>
        <w:tc>
          <w:tcPr>
            <w:tcW w:type="dxa" w:w="3331"/>
            <w:vAlign w:val="center"/>
          </w:tcPr>
          <w:p>
            <w:pPr>
              <w:spacing w:after="20" w:before="20"/>
            </w:pPr>
            <w:r/>
            <w:r>
              <w:rPr>
                <w:rFonts w:ascii="Aptos" w:hAnsi="Aptos"/>
                <w:b w:val="0"/>
                <w:color w:val="243447"/>
                <w:sz w:val="18"/>
              </w:rPr>
              <w:t>1 semaine</w:t>
            </w:r>
          </w:p>
        </w:tc>
      </w:tr>
    </w:tbl>
    <w:p>
      <w:pPr>
        <w:spacing w:after="0"/>
      </w:pPr>
    </w:p>
    <w:p>
      <w:r>
        <w:rPr>
          <w:i w:val="0"/>
        </w:rPr>
        <w:t>Ce planning est une estimation à confirmer selon l’avancement réel et ne constitue pas un engagement de calendrier.</w:t>
      </w:r>
    </w:p>
    <w:p>
      <w:pPr>
        <w:pStyle w:val="Heading2"/>
      </w:pPr>
      <w:r>
        <w:t>9.3 Livrables</w:t>
      </w:r>
    </w:p>
    <w:p>
      <w:pPr>
        <w:pStyle w:val="ListBullet"/>
        <w:spacing w:after="40"/>
      </w:pPr>
      <w:r>
        <w:t>Application Java exécutable et code source.</w:t>
      </w:r>
    </w:p>
    <w:p>
      <w:pPr>
        <w:pStyle w:val="ListBullet"/>
        <w:spacing w:after="40"/>
      </w:pPr>
      <w:r>
        <w:t>Documentation fonctionnelle et technique, manuel utilisateur et rapport final.</w:t>
      </w:r>
    </w:p>
    <w:p>
      <w:pPr>
        <w:pStyle w:val="ListBullet"/>
        <w:spacing w:after="40"/>
      </w:pPr>
      <w:r>
        <w:t>Diagrammes UML et script SQL actuel, clairement identifié comme schéma conservé.</w:t>
      </w:r>
    </w:p>
    <w:p>
      <w:pPr>
        <w:pStyle w:val="ListBullet"/>
        <w:spacing w:after="40"/>
      </w:pPr>
      <w:r>
        <w:t>Jeux de tests et résultats de validation des parcours de la phase 1.</w:t>
      </w:r>
    </w:p>
    <w:p>
      <w:pPr>
        <w:pStyle w:val="ListBullet"/>
        <w:spacing w:after="40"/>
      </w:pPr>
      <w:r>
        <w:t>Présentation du projet.</w:t>
      </w:r>
    </w:p>
    <w:p>
      <w:pPr>
        <w:pStyle w:val="Heading1"/>
      </w:pPr>
      <w:r>
        <w:t>10. Critères de validation et conclusion</w:t>
      </w:r>
    </w:p>
    <w:p>
      <w:r>
        <w:rPr>
          <w:i w:val="0"/>
        </w:rPr>
        <w:t>La phase 1 est considérée comme validable lorsque :</w:t>
      </w:r>
    </w:p>
    <w:p>
      <w:pPr>
        <w:pStyle w:val="ListBullet"/>
        <w:spacing w:after="40"/>
      </w:pPr>
      <w:r>
        <w:t>Un utilisateur du personnel peut se connecter et n’accéder qu’aux fonctions autorisées par son rôle.</w:t>
      </w:r>
    </w:p>
    <w:p>
      <w:pPr>
        <w:pStyle w:val="ListBullet"/>
      </w:pPr>
      <w:r>
        <w:t>Un réceptionniste ou un coach peut changer son propre mot de passe depuis le tableau de bord; l’ancien mot de passe est requis et une erreur laisse le mot de passe inchangé.</w:t>
      </w:r>
    </w:p>
    <w:p>
      <w:pPr>
        <w:pStyle w:val="ListBullet"/>
        <w:spacing w:after="40"/>
      </w:pPr>
      <w:r>
        <w:t>Les membres, abonnements, paiements, coachs, séances et inscriptions peuvent être gérés selon les règles et contraintes du schéma actuel.</w:t>
      </w:r>
    </w:p>
    <w:p>
      <w:pPr>
        <w:pStyle w:val="ListBullet"/>
        <w:spacing w:after="40"/>
      </w:pPr>
      <w:r>
        <w:t>Les contrôles d’expiration, d’abonnement valide et de capacité sont appliqués aux parcours concernés.</w:t>
      </w:r>
    </w:p>
    <w:p>
      <w:pPr>
        <w:pStyle w:val="ListBullet"/>
        <w:spacing w:after="40"/>
      </w:pPr>
      <w:r>
        <w:t>Les recherches, indicateurs et rapports affichent des données cohérentes avec la base; les erreurs sont signalées sans masquer les échecs.</w:t>
      </w:r>
    </w:p>
    <w:p>
      <w:pPr>
        <w:pStyle w:val="ListBullet"/>
        <w:spacing w:after="40"/>
      </w:pPr>
      <w:r>
        <w:t>Les tables actuelles et leurs données restent inchangées; seule la migration additive de l’espace membre ajoute deux tables, lorsqu’elle est appliquée explicitement.</w:t>
      </w:r>
    </w:p>
    <w:p>
      <w:pPr>
        <w:pStyle w:val="ListBullet"/>
      </w:pPr>
      <w:r>
        <w:t>Un membre ne peut se connecter que si son compte et sa fiche sont actifs; il ne consulte que ses propres données et peut modifier son mot de passe.</w:t>
      </w:r>
    </w:p>
    <w:p>
      <w:pPr>
        <w:pStyle w:val="ListBullet"/>
      </w:pPr>
      <w:r>
        <w:t>L’inscription à une séance bloque les comptes inactifs, abonnements invalides, doublons et séances complètes; une inscription peut être annulée uniquement par son membre avant le début.</w:t>
      </w:r>
    </w:p>
    <w:p>
      <w:pPr>
        <w:pStyle w:val="ListBullet"/>
      </w:pPr>
      <w:r>
        <w:t>Une demande d’abonnement ne crée aucun paiement ni abonnement actif avant approbation par le personnel et confirmation du paiement réellement encaissé.</w:t>
      </w:r>
    </w:p>
    <w:p>
      <w:r>
        <w:t>Cette synthèse garde l’application du personnel intacte et ajoute un espace JavaFX membre isolé : comptes créés par le personnel, consultation des données personnelles, inscription aux séances et demandes d’abonnement validées après encaissement. L’évolution repose sur une migration additive explicite de deux tables; le schéma existant n’est ni remplacé ni remanié. Le web, l’inscription autonome et les paiements en ligne restent des décisions ultérieures.</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Document de synthèse — Base de données actuelle conservée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GESTION D’UNE SALLE DE SPORT  |  CAHIER DES CHARGES DE SYNTHÈSE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eastAsia="Aptos"/>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Gestion d’une salle de sport (synthèse)</dc:title>
  <dc:subject>Synthèse des deux cahiers des charges; évolution espace membre JavaFX additive</dc:subject>
  <dc:creator>Amsatou NDIAYE</dc:creator>
  <cp:keywords>Java, JavaFX, MySQL, gestion salle de sport, synthèse</cp:keywords>
  <dc:description>generated by python-docx</dc:description>
  <cp:lastModifiedBy/>
  <cp:revision>1</cp:revision>
  <dcterms:created xsi:type="dcterms:W3CDTF">2013-12-23T23:15:00Z</dcterms:created>
  <dcterms:modified xsi:type="dcterms:W3CDTF">2013-12-23T23:15:00Z</dcterms:modified>
  <cp:category/>
</cp:coreProperties>
</file>