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40" w:before="-19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sz w:val="24"/>
          <w:rtl w:val="0"/>
        </w:rPr>
        <w:t xml:space="preserve">&lt;451F&gt;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sz w:val="24"/>
          <w:rtl w:val="0"/>
        </w:rPr>
        <w:t xml:space="preserve">Release Notes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sz w:val="24"/>
          <w:rtl w:val="0"/>
        </w:rPr>
        <w:t xml:space="preserve">Version &lt;1.1&gt;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i w:val="1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Revision History</w:t>
        <w:br w:type="textWrapping"/>
      </w:r>
    </w:p>
    <w:tbl>
      <w:tblPr>
        <w:tblStyle w:val="Kix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20"/>
        <w:gridCol w:w="1185"/>
        <w:gridCol w:w="4800"/>
        <w:gridCol w:w="1575"/>
        <w:tblGridChange w:id="0">
          <w:tblGrid>
            <w:gridCol w:w="1320"/>
            <w:gridCol w:w="1185"/>
            <w:gridCol w:w="4800"/>
            <w:gridCol w:w="157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Author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30/06/14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1.0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color w:val="222222"/>
                <w:sz w:val="24"/>
                <w:highlight w:val="white"/>
                <w:rtl w:val="0"/>
              </w:rPr>
              <w:t xml:space="preserve">Initial Version – Release Notes for the 451F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Julia P.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31/06/14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1.1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Added main part of doc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Sergey K.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line="262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Release Notes</w:t>
      </w:r>
    </w:p>
    <w:p w:rsidP="00000000" w:rsidRPr="00000000" w:rsidR="00000000" w:rsidDel="00000000" w:rsidRDefault="00000000">
      <w:pPr>
        <w:pStyle w:val="Heading1"/>
        <w:spacing w:lineRule="auto" w:after="120" w:line="125" w:before="480"/>
        <w:contextualSpacing w:val="0"/>
      </w:pPr>
      <w:bookmarkStart w:id="0" w:colFirst="0" w:name="h.xjp8kbglos5r" w:colLast="0"/>
      <w:bookmarkEnd w:id="0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Introduction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169" w:before="120"/>
        <w:contextualSpacing w:val="0"/>
      </w:pPr>
      <w:bookmarkStart w:id="1" w:colFirst="0" w:name="h.b64142u6aseu" w:colLast="0"/>
      <w:bookmarkEnd w:id="1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1.1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    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Purpose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sz w:val="24"/>
          <w:rtl w:val="0"/>
        </w:rPr>
        <w:t xml:space="preserve">Данный документ содержит описание основных функциональных особеннстей и известные проблемы системы «451F» ver 1.0.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169" w:before="120"/>
        <w:contextualSpacing w:val="0"/>
      </w:pPr>
      <w:bookmarkStart w:id="2" w:colFirst="0" w:name="h.53hwo5oqvbh4" w:colLast="0"/>
      <w:bookmarkEnd w:id="2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1.2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   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Данный документ относится к проекту система по автоматизации сожжения книг «451F», разработанная с учебной целью.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169" w:before="120"/>
        <w:contextualSpacing w:val="0"/>
      </w:pPr>
      <w:bookmarkStart w:id="3" w:colFirst="0" w:name="h.kd4f07rc9mdv" w:colLast="0"/>
      <w:bookmarkEnd w:id="3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1.3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    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Definitions, Acronyms, and Abbreviations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См. Glossary[1].</w:t>
      </w:r>
    </w:p>
    <w:p w:rsidP="00000000" w:rsidRPr="00000000" w:rsidR="00000000" w:rsidDel="00000000" w:rsidRDefault="00000000">
      <w:pPr>
        <w:pStyle w:val="Heading2"/>
        <w:spacing w:lineRule="auto" w:after="60" w:line="169" w:before="120"/>
        <w:contextualSpacing w:val="0"/>
      </w:pPr>
      <w:bookmarkStart w:id="4" w:colFirst="0" w:name="h.b7qyqi9453ox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169" w:before="120"/>
        <w:contextualSpacing w:val="0"/>
      </w:pPr>
      <w:bookmarkStart w:id="5" w:colFirst="0" w:name="h.trakw3sx5yk9" w:colLast="0"/>
      <w:bookmarkEnd w:id="5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1.4</w:t>
      </w: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 xml:space="preserve">    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References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См. Glossary[1].</w:t>
      </w:r>
    </w:p>
    <w:p w:rsidP="00000000" w:rsidRPr="00000000" w:rsidR="00000000" w:rsidDel="00000000" w:rsidRDefault="00000000">
      <w:pPr>
        <w:pStyle w:val="Heading1"/>
        <w:spacing w:lineRule="auto" w:after="120" w:line="125" w:before="480"/>
        <w:contextualSpacing w:val="0"/>
      </w:pPr>
      <w:bookmarkStart w:id="6" w:colFirst="0" w:name="h.hnzoshmngfa1" w:colLast="0"/>
      <w:bookmarkEnd w:id="6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2. 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   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About This 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sz w:val="24"/>
          <w:rtl w:val="0"/>
        </w:rPr>
        <w:t xml:space="preserve">Версия 1.0 разрабатываемой системы позволяет: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Любому пользователю системы создавать доносы на других пользователей.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Полицейскому выбирать донос на обработку и вводить результат проверки достоверности доноса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Пожарному позволяет выбирать из списка проверенных доносов, то который необходимо выполнить и после выезда составлять отчет о количестве сожженных книг.</w:t>
      </w: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Чиновнику позволяет просматривать статистику доносов, а так же формировать новостные сводки и заниматься пополнением бюджетных средств.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</w:t>
      </w:r>
      <w:r w:rsidRPr="00000000" w:rsidR="00000000" w:rsidDel="00000000">
        <w:rPr>
          <w:sz w:val="24"/>
          <w:rtl w:val="0"/>
        </w:rPr>
        <w:t xml:space="preserve">                  </w:t>
      </w:r>
      <w:r w:rsidRPr="00000000" w:rsidR="00000000" w:rsidDel="00000000">
        <w:rPr>
          <w:b w:val="1"/>
          <w:sz w:val="24"/>
          <w:rtl w:val="0"/>
        </w:rPr>
        <w:t xml:space="preserve">Compatible Products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sz w:val="24"/>
          <w:rtl w:val="0"/>
        </w:rPr>
        <w:t xml:space="preserve">Продукт прошел тестирование на следующих конфигурации:</w:t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sz w:val="24"/>
          <w:rtl w:val="0"/>
        </w:rPr>
        <w:t xml:space="preserve">Клиент (CPU - min 2GHz, RAM - min 2GB):</w:t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57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Ubuntu 12.04</w:t>
      </w:r>
      <w:r w:rsidRPr="00000000" w:rsidR="00000000" w:rsidDel="00000000">
        <w:rPr>
          <w:sz w:val="24"/>
          <w:rtl w:val="0"/>
        </w:rPr>
        <w:t xml:space="preserve">  (Chrome 30, Firefox 25);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57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Solaris OS 10 (Chromium 25);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 xml:space="preserve">Сервер (CPU – min 2GHz, RAM – min 1 GB):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57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Solaris 10, Glassfish 4.0;</w:t>
      </w:r>
    </w:p>
    <w:p w:rsidP="00000000" w:rsidRPr="00000000" w:rsidR="00000000" w:rsidDel="00000000" w:rsidRDefault="00000000">
      <w:pPr>
        <w:pStyle w:val="Heading1"/>
        <w:spacing w:lineRule="auto" w:after="120" w:line="125" w:before="480"/>
        <w:contextualSpacing w:val="0"/>
      </w:pPr>
      <w:bookmarkStart w:id="7" w:colFirst="0" w:name="h.ax6w4daduya9" w:colLast="0"/>
      <w:bookmarkEnd w:id="7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4.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New Features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sz w:val="24"/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sz w:val="24"/>
          <w:rtl w:val="0"/>
        </w:rPr>
        <w:t xml:space="preserve">Функционал, доступный в версии 1.0: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Регистрация пользователя в систему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Аутентификация и авторизация пользователя в системе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Создание пользователем доноса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Обработка доноса офицером полиции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Обработка проверенного доноса пожарным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Формирование новостной сводки чиновником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Пополнение бюджета чиновником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2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Просмотр новостных сводок пользователем</w:t>
      </w: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125" w:before="480"/>
        <w:contextualSpacing w:val="0"/>
      </w:pPr>
      <w:bookmarkStart w:id="8" w:colFirst="0" w:name="h.iepk4acnp28n" w:colLast="0"/>
      <w:bookmarkEnd w:id="8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5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.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Known Bugs and Limitations</w:t>
      </w:r>
    </w:p>
    <w:p w:rsidP="00000000" w:rsidRPr="00000000" w:rsidR="00000000" w:rsidDel="00000000" w:rsidRDefault="00000000">
      <w:pPr>
        <w:spacing w:lineRule="auto" w:line="262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62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Использование кластеризации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Notes.docx</dc:title>
</cp:coreProperties>
</file>