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Geleneksel dosyalama sistemleriyle veritabanı yönetim sistemlerinin benzerlik ve farklılıkları</w:t>
        <w:br w:type="textWrapping"/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Benzerlikler: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Her ikisi de veri saklamak ve yönetmek için kullanılır.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Kullanıcılar veri ekleyebilir, düzenleyebilir ve silebilir yani veriyi yönetebilir.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Farklılıklar: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Geleneksel dosyalama sistemlerinde veriler bağımsız dosyalarda saklanır, VTYS’de ise ilişkisel yapı vardır.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VTYS, veri bütünlüğünü ve güvenliğini daha iyi sağlar.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VTYS’de veri tekrarını önleyen normalizasyon uygulanabilir, dosyalama sistemlerinde veri tekrarları yaygındır.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. VTYS’nin geleneksel sisteme göre üstün özellikleri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Veriler daha tutarlı ve güvenli saklanır.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Aynı anda birden fazla kullanıcı veri üzerinde işlem yapabilir.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Veri tekrarını azaltır ve verilerin bütünlüğünü korur.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Yetkilendirme ile kullanıcı erişimleri düzenlenebilir.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 Veritabanının görevi ve kullanıldığı alanlar</w:t>
        <w:br w:type="textWrapping"/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Görevi: Verileri düzenli bir şekilde saklamak, işlemek ve erişimi kolaylaştırmak.</w:t>
        <w:br w:type="textWrapping"/>
        <w:t xml:space="preserve">Kullanım Alanları: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Bankacılık sistemleri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Öğrenci bilgi sistemleri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E-ticaret siteleri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Hastane yönetim sistemleri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Şirketlerin personel yönetim sistemleri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Tablo, satır ve sütun kavramları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Tablo: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Verilerin düzenli bir şekilde saklandığı yapıdır.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Satır: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Bir tablodaki her bir veri kaydını temsil eder.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Sütun: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Tablo içinde aynı türde verileri barındıran alanlardır.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 Birincil anahtar ve yabancı anahtar kavramları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Birincil Anahtar (Primary Key):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Tablo içindeki her satırı benzersiz şekilde tanımlayan alan.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Yabancı Anahtar (Foreign Key):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Bir tablodaki bir alanın, başka bir tablodaki birincil anahtara referans verdiği alan.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Veritabanı kullanıcı türleri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Veritabanı Yöneticisi (DBA):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Veritabanını yönetir ve güvenliğini sağlar.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Geliştiriciler: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Veritabanı tasarımı ve sorgularıyla ilgilenir.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Son Kullanıcılar: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 girişi ve sorgulama işlemleri yapar.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 Örnek veritabanı kullanıcı yetkilendirmesi</w:t>
        <w:br w:type="textWrapping"/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Bir öğrenci bilgi sistemi için: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Öğrenci: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Kendi notlarını görebilir.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Öğretmen: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Öğrenci notlarını sisteme girebilir.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Yönetici: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Kullanıcıları ekleyip silebilir, sistemde tam yetkiye sahiptir.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Veritabanı ile VTYS’nin farkı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Veritabanı: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Verilerin saklandığı yapıdır.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VTYS (Veritabanı Yönetim Sistemi):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Veritabanını yönetmek için kullanılan yazılımdır (MySQL, PostgreSQL gibi).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Georgia" w:cs="Georgia" w:eastAsia="Georgia" w:hAnsi="Georgia"/>
          <w:b w:val="1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İlişkisel veri modeli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Veriler tablolar halinde saklanır.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Tablolar arasındaki ilişkiler birincil anahtar ve yabancı anahtar ile sağlanır.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SQL dili kullanılarak veri sorgulanabilir ve yönetilebilir.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 Öğrenci bilgi sistemi için veritabanı ve tablolar</w:t>
        <w:br w:type="textWrapping"/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Tablolar: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Öğrenciler (ogrenci_id, ad, soyad, bolum)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Dersler (ders_id, ders_adi, kredi)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Notlar (not_id, ogrenci_id, ders_id, not_degeri)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İlişkiler: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"Notlar" tablosundaki </w:t>
      </w: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ogrenci_id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, "Öğrenciler" tablosundaki </w:t>
      </w: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ogrenci_id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ile ilişkilidir (yabancı anahtar).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"Notlar" tablosundaki </w:t>
      </w: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ders_id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, "Dersler" tablosundaki </w:t>
      </w:r>
      <w:r w:rsidDel="00000000" w:rsidR="00000000" w:rsidRPr="00000000">
        <w:rPr>
          <w:rFonts w:ascii="Georgia" w:cs="Georgia" w:eastAsia="Georgia" w:hAnsi="Georgia"/>
          <w:b w:val="1"/>
          <w:color w:val="00ffff"/>
          <w:highlight w:val="black"/>
          <w:rtl w:val="0"/>
        </w:rPr>
        <w:t xml:space="preserve">ders_id</w:t>
      </w:r>
      <w:r w:rsidDel="00000000" w:rsidR="00000000" w:rsidRPr="00000000">
        <w:rPr>
          <w:rFonts w:ascii="Georgia" w:cs="Georgia" w:eastAsia="Georgia" w:hAnsi="Georgia"/>
          <w:color w:val="00ffff"/>
          <w:highlight w:val="black"/>
          <w:rtl w:val="0"/>
        </w:rPr>
        <w:t xml:space="preserve"> ile ilişkilidir (yabancı anahtar).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ffff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